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734E" w14:textId="411898D2" w:rsidR="00A853AA" w:rsidRPr="00DF4931" w:rsidRDefault="00A853AA" w:rsidP="00544279">
      <w:pPr>
        <w:jc w:val="center"/>
        <w:rPr>
          <w:rFonts w:ascii="Linux Biolinum" w:hAnsi="Linux Biolinum" w:cs="Linux Biolinum"/>
          <w:b/>
          <w:sz w:val="28"/>
          <w:szCs w:val="28"/>
        </w:rPr>
      </w:pPr>
      <w:r w:rsidRPr="00DF4931">
        <w:rPr>
          <w:rFonts w:ascii="Linux Biolinum" w:hAnsi="Linux Biolinum" w:cs="Linux Biolinum"/>
          <w:b/>
          <w:sz w:val="28"/>
          <w:szCs w:val="28"/>
        </w:rPr>
        <w:t>The Cybersecurity Skills Survey:  Response to the 2020 SIM IT Trends Study</w:t>
      </w:r>
    </w:p>
    <w:p w14:paraId="28FBD74E" w14:textId="77777777" w:rsidR="00544279" w:rsidRPr="00544279" w:rsidRDefault="00544279" w:rsidP="00544279">
      <w:pPr>
        <w:spacing w:before="280" w:after="160" w:line="240" w:lineRule="auto"/>
        <w:jc w:val="center"/>
        <w:rPr>
          <w:rFonts w:cs="Linux Libertine"/>
          <w:sz w:val="24"/>
          <w14:ligatures w14:val="standard"/>
        </w:rPr>
        <w:sectPr w:rsidR="00544279" w:rsidRPr="00544279" w:rsidSect="00586A35">
          <w:headerReference w:type="default" r:id="rId9"/>
          <w:footerReference w:type="even" r:id="rId10"/>
          <w:footerReference w:type="default" r:id="rId11"/>
          <w:endnotePr>
            <w:numFmt w:val="decimal"/>
          </w:endnotePr>
          <w:type w:val="continuous"/>
          <w:pgSz w:w="12240" w:h="15840" w:code="9"/>
          <w:pgMar w:top="1500" w:right="1080" w:bottom="1600" w:left="1080" w:header="1080" w:footer="1080" w:gutter="0"/>
          <w:pgNumType w:start="1"/>
          <w:cols w:space="480"/>
          <w:titlePg/>
          <w:docGrid w:linePitch="360"/>
        </w:sectPr>
      </w:pPr>
    </w:p>
    <w:p w14:paraId="67AB7692" w14:textId="37F0A76A" w:rsidR="00544279" w:rsidRDefault="00544279" w:rsidP="00A853AA">
      <w:pPr>
        <w:jc w:val="center"/>
        <w:rPr>
          <w:b/>
          <w:sz w:val="28"/>
          <w:szCs w:val="28"/>
        </w:rPr>
      </w:pPr>
    </w:p>
    <w:p w14:paraId="43C6DAF9" w14:textId="58264035" w:rsidR="00544279" w:rsidRPr="00544279" w:rsidRDefault="00544279" w:rsidP="00DF4931">
      <w:pPr>
        <w:spacing w:after="160" w:line="240" w:lineRule="auto"/>
        <w:jc w:val="center"/>
        <w:rPr>
          <w:rFonts w:cs="Linux Libertine"/>
          <w:sz w:val="20"/>
          <w:szCs w:val="20"/>
        </w:rPr>
      </w:pPr>
      <w:r>
        <w:rPr>
          <w:rFonts w:cs="Linux Libertine"/>
          <w:sz w:val="24"/>
          <w14:ligatures w14:val="standard"/>
        </w:rPr>
        <w:t>Chris Maurer</w:t>
      </w:r>
      <w:r w:rsidRPr="00544279">
        <w:rPr>
          <w:rFonts w:cs="Linux Libertine"/>
          <w:sz w:val="24"/>
        </w:rPr>
        <w:br/>
      </w:r>
      <w:r w:rsidR="00C83439">
        <w:rPr>
          <w:rFonts w:cs="Linux Libertine"/>
          <w:sz w:val="20"/>
          <w14:ligatures w14:val="standard"/>
        </w:rPr>
        <w:t>McIntire School of Commerce</w:t>
      </w:r>
      <w:r w:rsidRPr="00544279">
        <w:rPr>
          <w:rFonts w:cs="Linux Libertine"/>
          <w:sz w:val="20"/>
          <w14:ligatures w14:val="standard"/>
        </w:rPr>
        <w:br/>
        <w:t xml:space="preserve"> </w:t>
      </w:r>
      <w:r>
        <w:rPr>
          <w:rFonts w:cs="Linux Libertine"/>
          <w:sz w:val="20"/>
          <w14:ligatures w14:val="standard"/>
        </w:rPr>
        <w:t>University of Virginia</w:t>
      </w:r>
      <w:r w:rsidRPr="00544279">
        <w:rPr>
          <w:rFonts w:cs="Linux Libertine"/>
          <w:sz w:val="20"/>
          <w14:ligatures w14:val="standard"/>
        </w:rPr>
        <w:br/>
        <w:t xml:space="preserve"> </w:t>
      </w:r>
      <w:r>
        <w:rPr>
          <w:rFonts w:cs="Linux Libertine"/>
          <w:sz w:val="20"/>
          <w14:ligatures w14:val="standard"/>
        </w:rPr>
        <w:t>Charlottesville, VA</w:t>
      </w:r>
      <w:r w:rsidRPr="00544279">
        <w:rPr>
          <w:rFonts w:cs="Linux Libertine"/>
          <w:sz w:val="24"/>
        </w:rPr>
        <w:br/>
      </w:r>
      <w:r w:rsidRPr="00544279">
        <w:rPr>
          <w:rFonts w:cs="Linux Libertine"/>
          <w:sz w:val="20"/>
          <w:szCs w:val="20"/>
        </w:rPr>
        <w:t>csm9y@comm.virginia.edu</w:t>
      </w:r>
    </w:p>
    <w:p w14:paraId="3ECB6D3B" w14:textId="11A96AAA" w:rsidR="00544279" w:rsidRPr="00544279" w:rsidRDefault="0080780B" w:rsidP="00DF4931">
      <w:pPr>
        <w:spacing w:after="160" w:line="240" w:lineRule="auto"/>
        <w:jc w:val="center"/>
        <w:rPr>
          <w:rFonts w:cs="Linux Libertine"/>
          <w:sz w:val="20"/>
          <w:szCs w:val="20"/>
          <w14:ligatures w14:val="standard"/>
        </w:rPr>
      </w:pPr>
      <w:r>
        <w:rPr>
          <w:rFonts w:cs="Linux Libertine"/>
          <w:sz w:val="24"/>
        </w:rPr>
        <w:t>Dan Mazzola</w:t>
      </w:r>
      <w:r w:rsidR="00544279" w:rsidRPr="00544279">
        <w:rPr>
          <w:rFonts w:cs="Linux Libertine"/>
          <w:sz w:val="24"/>
        </w:rPr>
        <w:br/>
      </w:r>
      <w:r w:rsidR="00544279" w:rsidRPr="00544279">
        <w:rPr>
          <w:rFonts w:cs="Linux Libertine"/>
          <w:sz w:val="20"/>
          <w14:ligatures w14:val="standard"/>
        </w:rPr>
        <w:t xml:space="preserve"> Information Systems</w:t>
      </w:r>
      <w:r w:rsidR="00544279" w:rsidRPr="00544279">
        <w:rPr>
          <w:rFonts w:cs="Linux Libertine"/>
          <w:sz w:val="20"/>
          <w14:ligatures w14:val="standard"/>
        </w:rPr>
        <w:br/>
        <w:t xml:space="preserve"> </w:t>
      </w:r>
      <w:r>
        <w:rPr>
          <w:rFonts w:cs="Linux Libertine"/>
          <w:sz w:val="20"/>
          <w14:ligatures w14:val="standard"/>
        </w:rPr>
        <w:t>Arizona State University</w:t>
      </w:r>
      <w:r w:rsidR="00544279" w:rsidRPr="00544279">
        <w:rPr>
          <w:rFonts w:cs="Linux Libertine"/>
          <w:sz w:val="20"/>
          <w14:ligatures w14:val="standard"/>
        </w:rPr>
        <w:br/>
        <w:t xml:space="preserve"> </w:t>
      </w:r>
      <w:r>
        <w:rPr>
          <w:rFonts w:cs="Linux Libertine"/>
          <w:sz w:val="20"/>
          <w14:ligatures w14:val="standard"/>
        </w:rPr>
        <w:t>Tempe, AZ</w:t>
      </w:r>
      <w:r w:rsidR="00544279" w:rsidRPr="00544279">
        <w:rPr>
          <w:rFonts w:cs="Linux Libertine"/>
          <w:sz w:val="24"/>
        </w:rPr>
        <w:br/>
        <w:t xml:space="preserve"> </w:t>
      </w:r>
      <w:r w:rsidRPr="0080780B">
        <w:rPr>
          <w:rFonts w:cs="Linux Libertine"/>
          <w:sz w:val="20"/>
          <w:szCs w:val="20"/>
        </w:rPr>
        <w:t>dan.mazzola@asu.edu</w:t>
      </w:r>
    </w:p>
    <w:p w14:paraId="71F36668" w14:textId="77777777" w:rsidR="00544279" w:rsidRDefault="00544279" w:rsidP="00DF4931">
      <w:pPr>
        <w:spacing w:after="120" w:line="240" w:lineRule="auto"/>
        <w:jc w:val="center"/>
        <w:rPr>
          <w:rFonts w:cs="Linux Libertine"/>
          <w:sz w:val="24"/>
          <w14:ligatures w14:val="standard"/>
        </w:rPr>
      </w:pPr>
      <w:r w:rsidRPr="00544279">
        <w:rPr>
          <w:rFonts w:cs="Linux Libertine"/>
          <w:sz w:val="24"/>
          <w14:ligatures w14:val="standard"/>
        </w:rPr>
        <w:br w:type="column"/>
      </w:r>
    </w:p>
    <w:p w14:paraId="1D2A440E" w14:textId="2FFD53B2" w:rsidR="00544279" w:rsidRPr="00544279" w:rsidRDefault="00544279" w:rsidP="00DF4931">
      <w:pPr>
        <w:spacing w:after="160" w:line="240" w:lineRule="auto"/>
        <w:jc w:val="center"/>
        <w:rPr>
          <w:rFonts w:cs="Linux Libertine"/>
          <w:sz w:val="20"/>
          <w14:ligatures w14:val="standard"/>
        </w:rPr>
      </w:pPr>
      <w:r w:rsidRPr="00544279">
        <w:rPr>
          <w:rFonts w:cs="Linux Libertine"/>
          <w:sz w:val="24"/>
          <w14:ligatures w14:val="standard"/>
        </w:rPr>
        <w:t>Mary Sumner</w:t>
      </w:r>
      <w:r w:rsidRPr="00544279">
        <w:rPr>
          <w:rFonts w:cs="Linux Libertine"/>
          <w:sz w:val="24"/>
        </w:rPr>
        <w:br/>
      </w:r>
      <w:r w:rsidRPr="00544279">
        <w:rPr>
          <w:rFonts w:cs="Linux Libertine"/>
          <w:sz w:val="20"/>
          <w14:ligatures w14:val="standard"/>
        </w:rPr>
        <w:t xml:space="preserve"> Computer Management &amp; Information Systems</w:t>
      </w:r>
      <w:r w:rsidRPr="00544279">
        <w:rPr>
          <w:rFonts w:cs="Linux Libertine"/>
          <w:sz w:val="20"/>
          <w14:ligatures w14:val="standard"/>
        </w:rPr>
        <w:br/>
        <w:t xml:space="preserve"> Southern Illinois University</w:t>
      </w:r>
      <w:r w:rsidR="00A11338">
        <w:rPr>
          <w:rFonts w:cs="Linux Libertine"/>
          <w:sz w:val="20"/>
          <w14:ligatures w14:val="standard"/>
        </w:rPr>
        <w:t xml:space="preserve"> </w:t>
      </w:r>
      <w:r w:rsidRPr="00544279">
        <w:rPr>
          <w:rFonts w:cs="Linux Libertine"/>
          <w:sz w:val="20"/>
          <w14:ligatures w14:val="standard"/>
        </w:rPr>
        <w:t>Edwardsville</w:t>
      </w:r>
      <w:r w:rsidRPr="00544279">
        <w:rPr>
          <w:rFonts w:cs="Linux Libertine"/>
          <w:sz w:val="20"/>
          <w14:ligatures w14:val="standard"/>
        </w:rPr>
        <w:br/>
        <w:t xml:space="preserve"> Edwardsville, Illinois</w:t>
      </w:r>
      <w:r w:rsidRPr="00544279">
        <w:rPr>
          <w:rFonts w:cs="Linux Libertine"/>
          <w:sz w:val="24"/>
        </w:rPr>
        <w:br/>
        <w:t xml:space="preserve"> </w:t>
      </w:r>
      <w:r w:rsidRPr="00544279">
        <w:rPr>
          <w:rFonts w:cs="Linux Libertine"/>
          <w:sz w:val="20"/>
          <w14:ligatures w14:val="standard"/>
        </w:rPr>
        <w:t>msumner@siue.edu</w:t>
      </w:r>
    </w:p>
    <w:p w14:paraId="79819BD5" w14:textId="029C56F0" w:rsidR="00544279" w:rsidRPr="00544279" w:rsidRDefault="0080780B" w:rsidP="00DF4931">
      <w:pPr>
        <w:spacing w:after="160" w:line="240" w:lineRule="auto"/>
        <w:jc w:val="center"/>
        <w:rPr>
          <w:rFonts w:cs="Linux Libertine"/>
          <w:sz w:val="20"/>
          <w14:ligatures w14:val="standard"/>
        </w:rPr>
        <w:sectPr w:rsidR="00544279" w:rsidRPr="00544279" w:rsidSect="007375DB">
          <w:endnotePr>
            <w:numFmt w:val="decimal"/>
          </w:endnotePr>
          <w:type w:val="continuous"/>
          <w:pgSz w:w="12240" w:h="15840" w:code="9"/>
          <w:pgMar w:top="1500" w:right="1080" w:bottom="1600" w:left="1080" w:header="1080" w:footer="1080" w:gutter="0"/>
          <w:pgNumType w:start="1"/>
          <w:cols w:num="2" w:space="720"/>
          <w:titlePg/>
          <w:docGrid w:linePitch="360"/>
        </w:sectPr>
      </w:pPr>
      <w:r>
        <w:rPr>
          <w:rFonts w:cs="Linux Libertine"/>
          <w:sz w:val="24"/>
        </w:rPr>
        <w:t>Keri Pearlson</w:t>
      </w:r>
      <w:r w:rsidR="00544279" w:rsidRPr="00544279">
        <w:rPr>
          <w:rFonts w:cs="Linux Libertine"/>
          <w:sz w:val="24"/>
        </w:rPr>
        <w:br/>
      </w:r>
      <w:r w:rsidR="00C83439">
        <w:rPr>
          <w:rFonts w:cs="Linux Libertine"/>
          <w:sz w:val="20"/>
          <w14:ligatures w14:val="standard"/>
        </w:rPr>
        <w:t xml:space="preserve">Center for </w:t>
      </w:r>
      <w:r>
        <w:rPr>
          <w:rFonts w:cs="Linux Libertine"/>
          <w:sz w:val="20"/>
          <w14:ligatures w14:val="standard"/>
        </w:rPr>
        <w:t>Cybersecurity Research</w:t>
      </w:r>
      <w:r w:rsidR="00544279" w:rsidRPr="00544279">
        <w:rPr>
          <w:rFonts w:cs="Linux Libertine"/>
          <w:sz w:val="20"/>
          <w14:ligatures w14:val="standard"/>
        </w:rPr>
        <w:br/>
      </w:r>
      <w:r>
        <w:rPr>
          <w:rFonts w:cs="Linux Libertine"/>
          <w:sz w:val="20"/>
          <w14:ligatures w14:val="standard"/>
        </w:rPr>
        <w:t>MIT</w:t>
      </w:r>
      <w:r w:rsidR="00544279" w:rsidRPr="00544279">
        <w:rPr>
          <w:rFonts w:cs="Linux Libertine"/>
          <w:sz w:val="20"/>
          <w14:ligatures w14:val="standard"/>
        </w:rPr>
        <w:br/>
        <w:t xml:space="preserve"> </w:t>
      </w:r>
      <w:r>
        <w:rPr>
          <w:rFonts w:cs="Linux Libertine"/>
          <w:sz w:val="20"/>
          <w14:ligatures w14:val="standard"/>
        </w:rPr>
        <w:t>Cambridge, MA</w:t>
      </w:r>
      <w:r w:rsidR="00544279" w:rsidRPr="00544279">
        <w:rPr>
          <w:rFonts w:cs="Linux Libertine"/>
          <w:sz w:val="24"/>
        </w:rPr>
        <w:br/>
        <w:t xml:space="preserve"> </w:t>
      </w:r>
      <w:r w:rsidRPr="0080780B">
        <w:rPr>
          <w:rFonts w:cs="Linux Libertine"/>
          <w:sz w:val="20"/>
          <w:szCs w:val="20"/>
        </w:rPr>
        <w:t>kerip@mit.edu</w:t>
      </w:r>
    </w:p>
    <w:p w14:paraId="7C4436E8" w14:textId="33D2B21F" w:rsidR="00544279" w:rsidRPr="00544279" w:rsidRDefault="0080780B" w:rsidP="00DF4931">
      <w:pPr>
        <w:spacing w:after="160" w:line="240" w:lineRule="auto"/>
        <w:jc w:val="center"/>
        <w:rPr>
          <w:rFonts w:cs="Linux Libertine"/>
          <w:sz w:val="20"/>
          <w:szCs w:val="20"/>
        </w:rPr>
      </w:pPr>
      <w:r>
        <w:rPr>
          <w:rFonts w:cs="Linux Libertine"/>
          <w:sz w:val="24"/>
        </w:rPr>
        <w:t>Tim Jacks</w:t>
      </w:r>
      <w:r w:rsidR="00544279" w:rsidRPr="00544279">
        <w:rPr>
          <w:rFonts w:cs="Linux Libertine"/>
          <w:sz w:val="24"/>
        </w:rPr>
        <w:br/>
      </w:r>
      <w:r w:rsidR="00544279" w:rsidRPr="00544279">
        <w:rPr>
          <w:rFonts w:cs="Linux Libertine"/>
          <w:sz w:val="20"/>
          <w14:ligatures w14:val="standard"/>
        </w:rPr>
        <w:t xml:space="preserve"> Computer</w:t>
      </w:r>
      <w:r>
        <w:rPr>
          <w:rFonts w:cs="Linux Libertine"/>
          <w:sz w:val="20"/>
          <w14:ligatures w14:val="standard"/>
        </w:rPr>
        <w:t xml:space="preserve"> Management &amp;</w:t>
      </w:r>
      <w:r w:rsidR="00544279" w:rsidRPr="00544279">
        <w:rPr>
          <w:rFonts w:cs="Linux Libertine"/>
          <w:sz w:val="20"/>
          <w14:ligatures w14:val="standard"/>
        </w:rPr>
        <w:t xml:space="preserve"> Information Systems</w:t>
      </w:r>
      <w:r w:rsidR="00544279" w:rsidRPr="00544279">
        <w:rPr>
          <w:rFonts w:cs="Linux Libertine"/>
          <w:sz w:val="20"/>
          <w14:ligatures w14:val="standard"/>
        </w:rPr>
        <w:br/>
        <w:t xml:space="preserve"> </w:t>
      </w:r>
      <w:r>
        <w:rPr>
          <w:rFonts w:cs="Linux Libertine"/>
          <w:sz w:val="20"/>
          <w14:ligatures w14:val="standard"/>
        </w:rPr>
        <w:t>Southern Illinois University Edwardsville</w:t>
      </w:r>
      <w:r w:rsidR="00544279" w:rsidRPr="00544279">
        <w:rPr>
          <w:rFonts w:cs="Linux Libertine"/>
          <w:sz w:val="20"/>
          <w14:ligatures w14:val="standard"/>
        </w:rPr>
        <w:br/>
        <w:t xml:space="preserve"> </w:t>
      </w:r>
      <w:r>
        <w:rPr>
          <w:rFonts w:cs="Linux Libertine"/>
          <w:sz w:val="20"/>
          <w14:ligatures w14:val="standard"/>
        </w:rPr>
        <w:t xml:space="preserve">Edwardsville, IL </w:t>
      </w:r>
      <w:r w:rsidR="00544279" w:rsidRPr="00544279">
        <w:rPr>
          <w:rFonts w:cs="Linux Libertine"/>
          <w:sz w:val="24"/>
        </w:rPr>
        <w:br/>
        <w:t xml:space="preserve"> </w:t>
      </w:r>
      <w:r w:rsidRPr="0080780B">
        <w:rPr>
          <w:rFonts w:cs="Linux Libertine"/>
          <w:sz w:val="20"/>
          <w:szCs w:val="20"/>
        </w:rPr>
        <w:t>tjacks@siue.edu</w:t>
      </w:r>
    </w:p>
    <w:p w14:paraId="4BD13239" w14:textId="02EDE864" w:rsidR="00D76DD2" w:rsidRPr="00586A35" w:rsidRDefault="00D76DD2" w:rsidP="00D76DD2">
      <w:pPr>
        <w:pStyle w:val="Authors"/>
        <w:jc w:val="both"/>
        <w:rPr>
          <w:rStyle w:val="FirstName"/>
        </w:rPr>
        <w:sectPr w:rsidR="00D76DD2" w:rsidRPr="00586A35" w:rsidSect="00586A35">
          <w:headerReference w:type="even" r:id="rId12"/>
          <w:headerReference w:type="default" r:id="rId13"/>
          <w:footerReference w:type="even" r:id="rId14"/>
          <w:footerReference w:type="default" r:id="rId15"/>
          <w:endnotePr>
            <w:numFmt w:val="decimal"/>
          </w:endnotePr>
          <w:type w:val="continuous"/>
          <w:pgSz w:w="12240" w:h="15840" w:code="9"/>
          <w:pgMar w:top="1500" w:right="1080" w:bottom="1600" w:left="1080" w:header="1080" w:footer="1080" w:gutter="0"/>
          <w:pgNumType w:start="1"/>
          <w:cols w:space="480"/>
          <w:titlePg/>
          <w:docGrid w:linePitch="360"/>
        </w:sectPr>
      </w:pPr>
    </w:p>
    <w:p w14:paraId="6A4725F0" w14:textId="77777777" w:rsidR="00586A35" w:rsidRPr="00586A35" w:rsidRDefault="00586A35" w:rsidP="003F0CED">
      <w:pPr>
        <w:pStyle w:val="TitleNote"/>
        <w:spacing w:line="264" w:lineRule="auto"/>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232D68F4" w14:textId="77777777" w:rsidR="0007392C" w:rsidRPr="00DF4931" w:rsidRDefault="007A502C" w:rsidP="003F0CED">
      <w:pPr>
        <w:pStyle w:val="AbsHead"/>
        <w:spacing w:line="264" w:lineRule="auto"/>
        <w:rPr>
          <w:lang w:val="en-US"/>
          <w14:ligatures w14:val="standard"/>
        </w:rPr>
      </w:pPr>
      <w:r w:rsidRPr="00DF4931">
        <w:rPr>
          <w:lang w:val="en-US"/>
          <w14:ligatures w14:val="standard"/>
        </w:rPr>
        <w:t>ABSTRACT</w:t>
      </w:r>
    </w:p>
    <w:p w14:paraId="72D8F0C4" w14:textId="3DC5EE45" w:rsidR="00590AFA" w:rsidRDefault="00590AFA" w:rsidP="001E1C56">
      <w:pPr>
        <w:spacing w:before="100" w:beforeAutospacing="1" w:after="100" w:afterAutospacing="1" w:line="240" w:lineRule="auto"/>
        <w:rPr>
          <w:rFonts w:eastAsia="Verdana"/>
          <w14:ligatures w14:val="standard"/>
        </w:rPr>
      </w:pPr>
      <w:r w:rsidRPr="00590AFA">
        <w:rPr>
          <w:rFonts w:eastAsia="Verdana"/>
          <w14:ligatures w14:val="standard"/>
        </w:rPr>
        <w:t xml:space="preserve">The Cybersecurity Skills Survey was developed and implemented to respond to the </w:t>
      </w:r>
      <w:r w:rsidR="00924FB0" w:rsidRPr="00590AFA">
        <w:rPr>
          <w:rFonts w:eastAsia="Verdana"/>
          <w14:ligatures w14:val="standard"/>
        </w:rPr>
        <w:t>high demand</w:t>
      </w:r>
      <w:r w:rsidRPr="00590AFA">
        <w:rPr>
          <w:rFonts w:eastAsia="Verdana"/>
          <w14:ligatures w14:val="standard"/>
        </w:rPr>
        <w:t xml:space="preserve"> for cybersecurity professionals, noted by the findings of the 2017, 2018, 2019, and 2020 SIM (Society for Information Management) IT Trends and Issues Study.   These findings were based upon input from over 1,000 IT leaders representing 37 SIM Chapters.  The goals of the cybersecurity skills survey were to identify: (1) What technical skills are needed for entry-level professionals in cybersecurity jobs? (2) What professional skills are needed for entry level professionals in cybersecurity jobs? (3) What technical skills are needed for early-career professionals in cybersecurity jobs? and (4) What professional skills are needed for early-career professionals in cybersecurity jobs? The survey findings provide key insights into in-demand skills and “difficult-to-find” competencies.  This paper reports on 99 responses captured from IT leaders representing the SIM Chapters in St. Louis, Austin, Milwaukee, and Phoenix, and is part of an ongoing data collection effort to include the Chapters in Tampa, Los Angeles, Houston, Chicago, and Boston.   Dialogues between academic professionals and industry leaders in each of</w:t>
      </w:r>
      <w:r w:rsidRPr="00C141E2">
        <w:t xml:space="preserve"> these professional communities are contributing to meeting the demand for talented cybersecurity graduates.</w:t>
      </w:r>
    </w:p>
    <w:p w14:paraId="5FA222D3" w14:textId="763BD1B2" w:rsidR="00EB4DF9" w:rsidRPr="00924FB0" w:rsidRDefault="00EB4DF9" w:rsidP="00924FB0">
      <w:pPr>
        <w:framePr w:w="4846" w:h="1778" w:hRule="exact" w:hSpace="187" w:wrap="around" w:vAnchor="page" w:hAnchor="page" w:x="1046" w:y="12563" w:anchorLock="1"/>
        <w:shd w:val="clear" w:color="auto" w:fill="FFFFFF"/>
        <w:spacing w:before="100" w:beforeAutospacing="1" w:after="100" w:afterAutospacing="1" w:line="240" w:lineRule="auto"/>
        <w:jc w:val="left"/>
        <w:rPr>
          <w:rFonts w:eastAsia="Times New Roman" w:cs="Linux Libertine"/>
          <w:sz w:val="14"/>
          <w:szCs w:val="14"/>
        </w:rPr>
      </w:pPr>
      <w:r w:rsidRPr="00924FB0">
        <w:rPr>
          <w:rFonts w:eastAsia="Times New Roman" w:cs="Linux Libertine"/>
          <w:sz w:val="14"/>
          <w:szCs w:val="14"/>
        </w:rPr>
        <w:t xml:space="preserve">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 </w:t>
      </w:r>
      <w:r w:rsidR="00924FB0">
        <w:rPr>
          <w:rFonts w:eastAsia="Times New Roman" w:cs="Linux Libertine"/>
          <w:sz w:val="14"/>
          <w:szCs w:val="14"/>
        </w:rPr>
        <w:br/>
      </w:r>
      <w:r w:rsidRPr="00924FB0">
        <w:rPr>
          <w:rFonts w:eastAsia="Times New Roman" w:cs="Linux Libertine"/>
          <w:i/>
          <w:iCs/>
          <w:sz w:val="14"/>
          <w:szCs w:val="14"/>
        </w:rPr>
        <w:t>SIGMIS-CPR '21, June 30, 2021, Virtual Event, Germany</w:t>
      </w:r>
      <w:r w:rsidR="00924FB0">
        <w:rPr>
          <w:rFonts w:eastAsia="Times New Roman" w:cs="Linux Libertine"/>
          <w:i/>
          <w:iCs/>
          <w:sz w:val="14"/>
          <w:szCs w:val="14"/>
        </w:rPr>
        <w:br/>
      </w:r>
      <w:r w:rsidRPr="00924FB0">
        <w:rPr>
          <w:rFonts w:eastAsia="Times New Roman" w:cs="Linux Libertine"/>
          <w:sz w:val="14"/>
          <w:szCs w:val="14"/>
        </w:rPr>
        <w:t xml:space="preserve"> © 2021 Copyright is held by the owner/author(s). </w:t>
      </w:r>
      <w:r w:rsidR="00DF4931">
        <w:rPr>
          <w:rFonts w:eastAsia="Times New Roman" w:cs="Linux Libertine"/>
          <w:sz w:val="14"/>
          <w:szCs w:val="14"/>
        </w:rPr>
        <w:br/>
      </w:r>
      <w:r w:rsidRPr="00924FB0">
        <w:rPr>
          <w:rFonts w:eastAsia="Times New Roman" w:cs="Linux Libertine"/>
          <w:sz w:val="14"/>
          <w:szCs w:val="14"/>
        </w:rPr>
        <w:t xml:space="preserve">ACM ISBN 978-1-4503-8406-3/21/06. </w:t>
      </w:r>
      <w:r w:rsidR="00DF4931">
        <w:rPr>
          <w:rFonts w:eastAsia="Times New Roman" w:cs="Linux Libertine"/>
          <w:sz w:val="14"/>
          <w:szCs w:val="14"/>
        </w:rPr>
        <w:br/>
      </w:r>
      <w:r w:rsidRPr="00924FB0">
        <w:rPr>
          <w:rFonts w:eastAsia="Times New Roman" w:cs="Linux Libertine"/>
          <w:sz w:val="14"/>
          <w:szCs w:val="14"/>
        </w:rPr>
        <w:t xml:space="preserve">https://doi.org/10.1145/3458026.3462153 </w:t>
      </w:r>
    </w:p>
    <w:p w14:paraId="7D5DA6A5" w14:textId="77777777" w:rsidR="0007392C" w:rsidRPr="00586A35" w:rsidRDefault="00675128" w:rsidP="003F0CED">
      <w:pPr>
        <w:pStyle w:val="CCSHead"/>
        <w:spacing w:line="264" w:lineRule="auto"/>
        <w:rPr>
          <w:lang w:eastAsia="it-IT"/>
          <w14:ligatures w14:val="standard"/>
        </w:rPr>
      </w:pPr>
      <w:r w:rsidRPr="00586A35">
        <w:rPr>
          <w:lang w:eastAsia="it-IT"/>
          <w14:ligatures w14:val="standard"/>
        </w:rPr>
        <w:t>CCS CONCEPTS</w:t>
      </w:r>
    </w:p>
    <w:p w14:paraId="0CCF0680" w14:textId="6A853EEE" w:rsidR="007D3C28" w:rsidRPr="00586A35" w:rsidRDefault="003C3338" w:rsidP="003F0CED">
      <w:pPr>
        <w:pStyle w:val="CCSDescription"/>
        <w:rPr>
          <w:rFonts w:cs="Linux Libertine"/>
          <w14:ligatures w14:val="standard"/>
        </w:rPr>
      </w:pPr>
      <w:r w:rsidRPr="00586A35">
        <w:rPr>
          <w14:ligatures w14:val="standard"/>
        </w:rPr>
        <w:t>•</w:t>
      </w:r>
      <w:r w:rsidR="00D255CE">
        <w:rPr>
          <w14:ligatures w14:val="standard"/>
        </w:rPr>
        <w:t>Professional topics, Computing education, IT education</w:t>
      </w:r>
    </w:p>
    <w:p w14:paraId="7D390808" w14:textId="77777777" w:rsidR="0007392C" w:rsidRPr="00586A35" w:rsidRDefault="00675128" w:rsidP="003F0CED">
      <w:pPr>
        <w:pStyle w:val="KeyWordHead"/>
        <w:spacing w:line="264" w:lineRule="auto"/>
        <w:rPr>
          <w:lang w:eastAsia="it-IT"/>
          <w14:ligatures w14:val="standard"/>
        </w:rPr>
      </w:pPr>
      <w:r w:rsidRPr="00586A35">
        <w:rPr>
          <w:lang w:eastAsia="it-IT"/>
          <w14:ligatures w14:val="standard"/>
        </w:rPr>
        <w:t>KEYWORDS</w:t>
      </w:r>
    </w:p>
    <w:p w14:paraId="0FF60934" w14:textId="331B5A32" w:rsidR="0007392C" w:rsidRPr="00586A35" w:rsidRDefault="001010A2" w:rsidP="003F0CED">
      <w:pPr>
        <w:pStyle w:val="KeyWords"/>
        <w:rPr>
          <w:lang w:eastAsia="it-IT"/>
          <w14:ligatures w14:val="standard"/>
        </w:rPr>
      </w:pPr>
      <w:r>
        <w:rPr>
          <w:lang w:eastAsia="it-IT"/>
          <w14:ligatures w14:val="standard"/>
        </w:rPr>
        <w:t>Cybersecurity</w:t>
      </w:r>
      <w:r w:rsidR="00914076">
        <w:rPr>
          <w:lang w:eastAsia="it-IT"/>
          <w14:ligatures w14:val="standard"/>
        </w:rPr>
        <w:t xml:space="preserve">, IT workforce, </w:t>
      </w:r>
      <w:r w:rsidR="00DD7B45">
        <w:rPr>
          <w:lang w:eastAsia="it-IT"/>
          <w14:ligatures w14:val="standard"/>
        </w:rPr>
        <w:t xml:space="preserve">Technical skills, </w:t>
      </w:r>
      <w:r w:rsidR="00D255CE">
        <w:rPr>
          <w:lang w:eastAsia="it-IT"/>
          <w14:ligatures w14:val="standard"/>
        </w:rPr>
        <w:t>Professional</w:t>
      </w:r>
      <w:r w:rsidR="00DD7B45">
        <w:rPr>
          <w:lang w:eastAsia="it-IT"/>
          <w14:ligatures w14:val="standard"/>
        </w:rPr>
        <w:t xml:space="preserve"> skills </w:t>
      </w:r>
    </w:p>
    <w:p w14:paraId="10E1E6CE" w14:textId="77777777" w:rsidR="00EB4DF9" w:rsidRPr="00586A35" w:rsidRDefault="00EB4DF9" w:rsidP="00EB4DF9">
      <w:pPr>
        <w:pStyle w:val="RefFormatHead"/>
        <w:rPr>
          <w14:ligatures w14:val="standard"/>
        </w:rPr>
      </w:pPr>
      <w:r w:rsidRPr="00586A35">
        <w:rPr>
          <w14:ligatures w14:val="standard"/>
        </w:rPr>
        <w:t>ACM Reference format:</w:t>
      </w:r>
    </w:p>
    <w:p w14:paraId="456017B2" w14:textId="6F2DC8A7" w:rsidR="00EB4DF9" w:rsidRPr="00375619" w:rsidRDefault="004B736F" w:rsidP="00EB4DF9">
      <w:pPr>
        <w:pStyle w:val="RefFormatPara"/>
        <w:rPr>
          <w:iCs/>
          <w14:ligatures w14:val="standard"/>
        </w:rPr>
      </w:pPr>
      <w:r>
        <w:rPr>
          <w14:ligatures w14:val="standard"/>
        </w:rPr>
        <w:t>Chris</w:t>
      </w:r>
      <w:r w:rsidR="00EB4DF9" w:rsidRPr="00586A35">
        <w:rPr>
          <w14:ligatures w14:val="standard"/>
        </w:rPr>
        <w:t xml:space="preserve"> </w:t>
      </w:r>
      <w:r>
        <w:rPr>
          <w14:ligatures w14:val="standard"/>
        </w:rPr>
        <w:t>Maurer</w:t>
      </w:r>
      <w:r w:rsidR="00EB4DF9" w:rsidRPr="00586A35">
        <w:rPr>
          <w14:ligatures w14:val="standard"/>
        </w:rPr>
        <w:t xml:space="preserve">, </w:t>
      </w:r>
      <w:r>
        <w:rPr>
          <w14:ligatures w14:val="standard"/>
        </w:rPr>
        <w:t>Mary</w:t>
      </w:r>
      <w:r w:rsidR="00EB4DF9" w:rsidRPr="00586A35">
        <w:rPr>
          <w14:ligatures w14:val="standard"/>
        </w:rPr>
        <w:t xml:space="preserve"> </w:t>
      </w:r>
      <w:r>
        <w:rPr>
          <w14:ligatures w14:val="standard"/>
        </w:rPr>
        <w:t>Sumner, Dan Mazzola, Keri Pearlson,</w:t>
      </w:r>
      <w:r w:rsidR="00EB4DF9" w:rsidRPr="00586A35">
        <w:rPr>
          <w14:ligatures w14:val="standard"/>
        </w:rPr>
        <w:t xml:space="preserve"> and </w:t>
      </w:r>
      <w:r>
        <w:rPr>
          <w14:ligatures w14:val="standard"/>
        </w:rPr>
        <w:t>Tim</w:t>
      </w:r>
      <w:r w:rsidR="00EB4DF9" w:rsidRPr="00586A35">
        <w:rPr>
          <w14:ligatures w14:val="standard"/>
        </w:rPr>
        <w:t xml:space="preserve"> </w:t>
      </w:r>
      <w:r>
        <w:rPr>
          <w14:ligatures w14:val="standard"/>
        </w:rPr>
        <w:t>Jacks</w:t>
      </w:r>
      <w:r w:rsidR="00EB4DF9" w:rsidRPr="00586A35">
        <w:rPr>
          <w14:ligatures w14:val="standard"/>
        </w:rPr>
        <w:t xml:space="preserve">. </w:t>
      </w:r>
      <w:r>
        <w:rPr>
          <w14:ligatures w14:val="standard"/>
        </w:rPr>
        <w:t>2021</w:t>
      </w:r>
      <w:r w:rsidR="00EB4DF9" w:rsidRPr="00586A35">
        <w:rPr>
          <w14:ligatures w14:val="standard"/>
        </w:rPr>
        <w:t xml:space="preserve">. </w:t>
      </w:r>
      <w:r>
        <w:rPr>
          <w:bCs/>
          <w14:ligatures w14:val="standard"/>
        </w:rPr>
        <w:t>The Cybersecurity Skills Survey: Response to the 2020 SIM IT Trends and Issues Study</w:t>
      </w:r>
      <w:r w:rsidR="00EB4DF9" w:rsidRPr="00586A35">
        <w:rPr>
          <w:bCs/>
          <w14:ligatures w14:val="standard"/>
        </w:rPr>
        <w:t xml:space="preserve">. In </w:t>
      </w:r>
      <w:r w:rsidR="00EB4DF9" w:rsidRPr="00586A35">
        <w:rPr>
          <w:bCs/>
          <w:i/>
          <w14:ligatures w14:val="standard"/>
        </w:rPr>
        <w:t xml:space="preserve">Proceedings of </w:t>
      </w:r>
      <w:r>
        <w:rPr>
          <w:bCs/>
          <w:i/>
          <w14:ligatures w14:val="standard"/>
        </w:rPr>
        <w:t>the 2021 Computers and People Research C</w:t>
      </w:r>
      <w:r w:rsidR="00EB4DF9" w:rsidRPr="00586A35">
        <w:rPr>
          <w:bCs/>
          <w:i/>
          <w14:ligatures w14:val="standard"/>
        </w:rPr>
        <w:t>onference (</w:t>
      </w:r>
      <w:r>
        <w:rPr>
          <w:bCs/>
          <w:i/>
          <w14:ligatures w14:val="standard"/>
        </w:rPr>
        <w:t>SIGMIS-CPR ‘21</w:t>
      </w:r>
      <w:r w:rsidR="00EB4DF9" w:rsidRPr="00586A35">
        <w:rPr>
          <w:bCs/>
          <w:i/>
          <w14:ligatures w14:val="standard"/>
        </w:rPr>
        <w:t>)</w:t>
      </w:r>
      <w:r>
        <w:rPr>
          <w:bCs/>
          <w:i/>
          <w14:ligatures w14:val="standard"/>
        </w:rPr>
        <w:t>, June 30</w:t>
      </w:r>
      <w:r w:rsidR="00375619">
        <w:rPr>
          <w:bCs/>
          <w:i/>
          <w14:ligatures w14:val="standard"/>
        </w:rPr>
        <w:t xml:space="preserve">, 2021, Virtual Event, Germany, </w:t>
      </w:r>
      <w:r w:rsidR="00375619" w:rsidRPr="00375619">
        <w:rPr>
          <w:bCs/>
          <w:iCs/>
          <w14:ligatures w14:val="standard"/>
        </w:rPr>
        <w:t>3 pages.</w:t>
      </w:r>
      <w:r w:rsidR="00EB4DF9" w:rsidRPr="00375619">
        <w:rPr>
          <w:bCs/>
          <w:iCs/>
          <w14:ligatures w14:val="standard"/>
        </w:rPr>
        <w:t xml:space="preserve"> </w:t>
      </w:r>
      <w:r w:rsidR="00375619" w:rsidRPr="00375619">
        <w:rPr>
          <w:bCs/>
          <w:iCs/>
          <w14:ligatures w14:val="standard"/>
        </w:rPr>
        <w:t>https://doi.org/10.1145/3458026.3462153</w:t>
      </w:r>
    </w:p>
    <w:p w14:paraId="04501FD5" w14:textId="77777777" w:rsidR="00EB4DF9" w:rsidRPr="00586A35" w:rsidRDefault="00EB4DF9" w:rsidP="00EB4DF9">
      <w:pPr>
        <w:pStyle w:val="RefFormatPara"/>
        <w:rPr>
          <w14:ligatures w14:val="standard"/>
        </w:rPr>
      </w:pPr>
    </w:p>
    <w:p w14:paraId="7EFEC2D5" w14:textId="05477354" w:rsidR="0007392C" w:rsidRDefault="003F0CED" w:rsidP="003F0CED">
      <w:pPr>
        <w:pStyle w:val="Head1"/>
        <w:spacing w:line="264" w:lineRule="auto"/>
      </w:pPr>
      <w:r w:rsidRPr="00586A35">
        <w:rPr>
          <w:rStyle w:val="Label"/>
          <w14:ligatures w14:val="standard"/>
        </w:rPr>
        <w:t>1</w:t>
      </w:r>
      <w:r>
        <w:rPr>
          <w:rStyle w:val="Label"/>
          <w14:ligatures w14:val="standard"/>
        </w:rPr>
        <w:t>.</w:t>
      </w:r>
      <w:r w:rsidR="00586A35" w:rsidRPr="00586A35">
        <w:t> </w:t>
      </w:r>
      <w:r w:rsidR="000338FF">
        <w:t>INTRODUCTION</w:t>
      </w:r>
    </w:p>
    <w:p w14:paraId="300851E2" w14:textId="18E50C6B" w:rsidR="001E1C56" w:rsidRDefault="001E1C56" w:rsidP="001E1C56">
      <w:pPr>
        <w:spacing w:before="100" w:beforeAutospacing="1" w:after="100" w:afterAutospacing="1" w:line="240" w:lineRule="auto"/>
      </w:pPr>
      <w:r>
        <w:t>SIM, the Society for Information Management, has 37 Chapters with over 5,000 IT Leaders and Chief Information Officers in the United States.  In the 2020 SIM IT Trends Study, Cybersecurity remains the #1 concern for CIO’s and IT Leaders within organizations for the 4</w:t>
      </w:r>
      <w:r w:rsidRPr="004D7405">
        <w:rPr>
          <w:vertAlign w:val="superscript"/>
        </w:rPr>
        <w:t>th</w:t>
      </w:r>
      <w:r>
        <w:t xml:space="preserve"> year in a row.  The overwhelming importance of the cybersecurity issue is combined with the </w:t>
      </w:r>
      <w:r w:rsidR="00924FB0">
        <w:t>high demand</w:t>
      </w:r>
      <w:r>
        <w:t xml:space="preserve"> for IT talent in cybersecurity roles.  Recent data on IT workforce trends cited in Forbes magazine indicates a shortage of cybersecurity professionals in the order of magnitude of 3.5 million jobs globally by 2021 (Sayegh, 2020).  This “talent gap” challenges academic professionals and IT industry leaders to work together to identify in-demand skills for cybersecurity jobs and to develop programs which meet industry needs for trained graduates.</w:t>
      </w:r>
    </w:p>
    <w:p w14:paraId="4A3A0638" w14:textId="25369F57" w:rsidR="001E1C56" w:rsidRDefault="001E1C56" w:rsidP="001E1C56">
      <w:pPr>
        <w:spacing w:before="100" w:beforeAutospacing="1" w:after="100" w:afterAutospacing="1" w:line="240" w:lineRule="auto"/>
      </w:pPr>
      <w:r>
        <w:t xml:space="preserve">In June, 2020, the SIM Academic Council organized a research group to identify research opportunities addressing the Key Trends and Issues identified in the SIM IT Trends Studies.  The SIM </w:t>
      </w:r>
      <w:r>
        <w:lastRenderedPageBreak/>
        <w:t xml:space="preserve">Academic Council consists of academic professionals who are interested in developing research which is relevant to practice and which addresses the concerns of IT leaders and SIM members.  The talent gap in cybersecurity represented a key issue for further investigation.  The </w:t>
      </w:r>
      <w:r w:rsidR="00872330">
        <w:t xml:space="preserve">cybersecurity research </w:t>
      </w:r>
      <w:r>
        <w:t xml:space="preserve">group decided to develop a survey to determine the skills needed by cybersecurity professionals in order to better meet these needs.  </w:t>
      </w:r>
    </w:p>
    <w:p w14:paraId="31E06249" w14:textId="1D3D77F7" w:rsidR="000B3337" w:rsidRDefault="000B3337" w:rsidP="003F0CED">
      <w:pPr>
        <w:pStyle w:val="Head1"/>
        <w:spacing w:line="264" w:lineRule="auto"/>
      </w:pPr>
      <w:r>
        <w:t>3.   RESEARCH QUESTIONS</w:t>
      </w:r>
    </w:p>
    <w:p w14:paraId="7F87E919" w14:textId="77777777" w:rsidR="00EB6256" w:rsidRPr="00D255CE" w:rsidRDefault="00EB6256" w:rsidP="00EB2401">
      <w:pPr>
        <w:pStyle w:val="ListParagraph"/>
        <w:rPr>
          <w:b w:val="0"/>
          <w:bCs w:val="0"/>
        </w:rPr>
      </w:pPr>
      <w:r w:rsidRPr="00D255CE">
        <w:rPr>
          <w:b w:val="0"/>
          <w:bCs w:val="0"/>
        </w:rPr>
        <w:t>What technical skills are needed for entry-level professionals in cybersecurity jobs?</w:t>
      </w:r>
    </w:p>
    <w:p w14:paraId="1C066D34" w14:textId="77777777" w:rsidR="00EB6256" w:rsidRPr="00D255CE" w:rsidRDefault="00EB6256" w:rsidP="00EB2401">
      <w:pPr>
        <w:pStyle w:val="ListParagraph"/>
        <w:rPr>
          <w:b w:val="0"/>
          <w:bCs w:val="0"/>
        </w:rPr>
      </w:pPr>
      <w:r w:rsidRPr="00D255CE">
        <w:rPr>
          <w:b w:val="0"/>
          <w:bCs w:val="0"/>
        </w:rPr>
        <w:t>What professional skills are needed for entry level professionals in cybersecurity jobs?</w:t>
      </w:r>
    </w:p>
    <w:p w14:paraId="3D9826F4" w14:textId="77777777" w:rsidR="00EB6256" w:rsidRPr="00D255CE" w:rsidRDefault="00EB6256" w:rsidP="00EB2401">
      <w:pPr>
        <w:pStyle w:val="ListParagraph"/>
        <w:rPr>
          <w:b w:val="0"/>
          <w:bCs w:val="0"/>
        </w:rPr>
      </w:pPr>
      <w:r w:rsidRPr="00D255CE">
        <w:rPr>
          <w:b w:val="0"/>
          <w:bCs w:val="0"/>
        </w:rPr>
        <w:t>What technical skills are needed for early-career professionals in cybersecurity jobs?</w:t>
      </w:r>
    </w:p>
    <w:p w14:paraId="111B27EC" w14:textId="77777777" w:rsidR="00EB6256" w:rsidRPr="00D255CE" w:rsidRDefault="00EB6256" w:rsidP="00EB2401">
      <w:pPr>
        <w:pStyle w:val="ListParagraph"/>
        <w:rPr>
          <w:b w:val="0"/>
          <w:bCs w:val="0"/>
        </w:rPr>
      </w:pPr>
      <w:r w:rsidRPr="00D255CE">
        <w:rPr>
          <w:b w:val="0"/>
          <w:bCs w:val="0"/>
        </w:rPr>
        <w:t>What professional skills are needed for early-career professionals in cybersecurity jobs?</w:t>
      </w:r>
    </w:p>
    <w:p w14:paraId="1EEE4AA4" w14:textId="73EE2489" w:rsidR="00EB6256" w:rsidRDefault="000B3337" w:rsidP="00EB6256">
      <w:pPr>
        <w:pStyle w:val="Head1"/>
        <w:spacing w:line="264" w:lineRule="auto"/>
        <w:rPr>
          <w:rFonts w:eastAsia="Verdana"/>
          <w14:ligatures w14:val="standard"/>
        </w:rPr>
      </w:pPr>
      <w:r>
        <w:t>4.  METHOD</w:t>
      </w:r>
    </w:p>
    <w:p w14:paraId="6EA0EFF1" w14:textId="00EE96EA" w:rsidR="00EB6256" w:rsidRDefault="00EB6256" w:rsidP="00D255CE">
      <w:pPr>
        <w:spacing w:before="100" w:beforeAutospacing="1" w:after="100" w:afterAutospacing="1" w:line="240" w:lineRule="auto"/>
        <w:rPr>
          <w:rFonts w:eastAsia="Verdana"/>
          <w14:ligatures w14:val="standard"/>
        </w:rPr>
      </w:pPr>
      <w:r w:rsidRPr="00EB6256">
        <w:rPr>
          <w:szCs w:val="18"/>
        </w:rPr>
        <w:t xml:space="preserve">In June, 2020, the </w:t>
      </w:r>
      <w:r w:rsidR="00872330">
        <w:rPr>
          <w:szCs w:val="18"/>
        </w:rPr>
        <w:t>c</w:t>
      </w:r>
      <w:r w:rsidRPr="00EB6256">
        <w:rPr>
          <w:szCs w:val="18"/>
        </w:rPr>
        <w:t xml:space="preserve">ybersecurity research group developed an on-line survey to identify cybersecurity skills, knowledge, and competencies for both entry-level candidates and early-career professionals (with 3 – 5 years’ experience).  The survey includes an assessment of technical skills and soft skills.  </w:t>
      </w:r>
      <w:r w:rsidRPr="00EB6256">
        <w:rPr>
          <w:rFonts w:cstheme="minorHAnsi"/>
          <w:szCs w:val="18"/>
        </w:rPr>
        <w:t>Between August and October, 2020, the cybersecurity research team rolled out the cybersecurity survey within SIM Chapters</w:t>
      </w:r>
      <w:r w:rsidR="00872330">
        <w:rPr>
          <w:rFonts w:cstheme="minorHAnsi"/>
          <w:szCs w:val="18"/>
        </w:rPr>
        <w:t xml:space="preserve"> in St. Louis, Milwaukee, Austin, and Phoenix</w:t>
      </w:r>
      <w:r w:rsidRPr="00EB6256">
        <w:rPr>
          <w:rFonts w:cstheme="minorHAnsi"/>
          <w:szCs w:val="18"/>
        </w:rPr>
        <w:t xml:space="preserve">.  </w:t>
      </w:r>
    </w:p>
    <w:p w14:paraId="7600B625" w14:textId="4EDC83CE" w:rsidR="004E5134" w:rsidRDefault="004E5134" w:rsidP="004E5134">
      <w:pPr>
        <w:pStyle w:val="Head1"/>
        <w:numPr>
          <w:ilvl w:val="0"/>
          <w:numId w:val="41"/>
        </w:numPr>
        <w:spacing w:line="264" w:lineRule="auto"/>
      </w:pPr>
      <w:r>
        <w:t>TECHNICAL SKILLS</w:t>
      </w:r>
    </w:p>
    <w:p w14:paraId="1317A013" w14:textId="3BA9F498" w:rsidR="004E5134" w:rsidRDefault="004E5134" w:rsidP="004E5134">
      <w:pPr>
        <w:spacing w:before="100" w:beforeAutospacing="1" w:after="100" w:afterAutospacing="1" w:line="240" w:lineRule="auto"/>
      </w:pPr>
      <w:r>
        <w:t xml:space="preserve">The 99 respondents representing the St. Louis, Milwaukee, Austin, and Phoenix professional groups were both SIM and ISACA Chapter members.  More than 15 industries were represented, with a range from $5 Million to more than $5 Billion in Revenue, and a range of fewer than 100 to more than 10,000 FTE’s (full-time equivalent employees).  </w:t>
      </w:r>
      <w:r w:rsidR="00872330">
        <w:t>The technical skills needed for entry-level and early-career personnel are:</w:t>
      </w:r>
    </w:p>
    <w:tbl>
      <w:tblPr>
        <w:tblStyle w:val="TableGrid"/>
        <w:tblW w:w="0" w:type="auto"/>
        <w:tblLook w:val="04A0" w:firstRow="1" w:lastRow="0" w:firstColumn="1" w:lastColumn="0" w:noHBand="0" w:noVBand="1"/>
      </w:tblPr>
      <w:tblGrid>
        <w:gridCol w:w="961"/>
        <w:gridCol w:w="2935"/>
        <w:gridCol w:w="894"/>
      </w:tblGrid>
      <w:tr w:rsidR="004E5134" w:rsidRPr="00DA693A" w14:paraId="01406C67" w14:textId="77777777" w:rsidTr="00FF3166">
        <w:tc>
          <w:tcPr>
            <w:tcW w:w="961" w:type="dxa"/>
          </w:tcPr>
          <w:p w14:paraId="2E234BA0" w14:textId="3AA57B20" w:rsidR="004E5134" w:rsidRPr="00DA693A" w:rsidRDefault="004E5134" w:rsidP="00CC2E81">
            <w:pPr>
              <w:spacing w:before="100" w:beforeAutospacing="1" w:after="100" w:afterAutospacing="1"/>
            </w:pPr>
            <w:r w:rsidRPr="00DA693A">
              <w:t xml:space="preserve">Entry-Level </w:t>
            </w:r>
            <w:r w:rsidR="00694822">
              <w:t>%</w:t>
            </w:r>
            <w:r w:rsidRPr="00DA693A">
              <w:t xml:space="preserve"> </w:t>
            </w:r>
          </w:p>
        </w:tc>
        <w:tc>
          <w:tcPr>
            <w:tcW w:w="2935" w:type="dxa"/>
          </w:tcPr>
          <w:p w14:paraId="1B190FD2" w14:textId="77777777" w:rsidR="004E5134" w:rsidRPr="00DA693A" w:rsidRDefault="004E5134" w:rsidP="00CC2E81">
            <w:pPr>
              <w:spacing w:before="100" w:beforeAutospacing="1" w:after="100" w:afterAutospacing="1"/>
            </w:pPr>
            <w:r w:rsidRPr="00DA693A">
              <w:t>Technical Skills</w:t>
            </w:r>
          </w:p>
        </w:tc>
        <w:tc>
          <w:tcPr>
            <w:tcW w:w="894" w:type="dxa"/>
          </w:tcPr>
          <w:p w14:paraId="2B80A4D6" w14:textId="5E86E9C5" w:rsidR="004E5134" w:rsidRPr="00DA693A" w:rsidRDefault="004E5134" w:rsidP="00CC2E81">
            <w:pPr>
              <w:spacing w:before="100" w:beforeAutospacing="1" w:after="100" w:afterAutospacing="1"/>
            </w:pPr>
            <w:r w:rsidRPr="00DA693A">
              <w:t xml:space="preserve">Early Career </w:t>
            </w:r>
            <w:r w:rsidR="00694822">
              <w:t>%</w:t>
            </w:r>
            <w:r w:rsidRPr="00DA693A">
              <w:t xml:space="preserve"> </w:t>
            </w:r>
          </w:p>
        </w:tc>
      </w:tr>
      <w:tr w:rsidR="004E5134" w:rsidRPr="00DA693A" w14:paraId="2F5347FE" w14:textId="77777777" w:rsidTr="00FF3166">
        <w:tc>
          <w:tcPr>
            <w:tcW w:w="961" w:type="dxa"/>
            <w:vAlign w:val="bottom"/>
          </w:tcPr>
          <w:p w14:paraId="1F8B69E9"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63.8%</w:t>
            </w:r>
          </w:p>
        </w:tc>
        <w:tc>
          <w:tcPr>
            <w:tcW w:w="2935" w:type="dxa"/>
            <w:vAlign w:val="bottom"/>
          </w:tcPr>
          <w:p w14:paraId="426AD5DB" w14:textId="066DAA18" w:rsidR="004E5134" w:rsidRPr="00DA693A" w:rsidRDefault="004E5134" w:rsidP="00CC2E81">
            <w:pPr>
              <w:spacing w:before="100" w:beforeAutospacing="1" w:after="100" w:afterAutospacing="1" w:line="360" w:lineRule="auto"/>
            </w:pPr>
            <w:r w:rsidRPr="00DA693A">
              <w:rPr>
                <w:rFonts w:ascii="Calibri" w:hAnsi="Calibri" w:cs="Calibri"/>
                <w:color w:val="000000"/>
              </w:rPr>
              <w:t xml:space="preserve">Cybersecurity </w:t>
            </w:r>
            <w:r>
              <w:rPr>
                <w:rFonts w:ascii="Calibri" w:hAnsi="Calibri" w:cs="Calibri"/>
                <w:color w:val="000000"/>
              </w:rPr>
              <w:t>F</w:t>
            </w:r>
            <w:r w:rsidRPr="00DA693A">
              <w:rPr>
                <w:rFonts w:ascii="Calibri" w:hAnsi="Calibri" w:cs="Calibri"/>
                <w:color w:val="000000"/>
              </w:rPr>
              <w:t xml:space="preserve">rameworks </w:t>
            </w:r>
          </w:p>
        </w:tc>
        <w:tc>
          <w:tcPr>
            <w:tcW w:w="894" w:type="dxa"/>
            <w:vAlign w:val="bottom"/>
          </w:tcPr>
          <w:p w14:paraId="179AF91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72.4%</w:t>
            </w:r>
          </w:p>
        </w:tc>
      </w:tr>
      <w:tr w:rsidR="004E5134" w:rsidRPr="00DA693A" w14:paraId="12289F58" w14:textId="77777777" w:rsidTr="00FF3166">
        <w:tc>
          <w:tcPr>
            <w:tcW w:w="961" w:type="dxa"/>
            <w:vAlign w:val="bottom"/>
          </w:tcPr>
          <w:p w14:paraId="28FDA42E"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41.9%</w:t>
            </w:r>
          </w:p>
        </w:tc>
        <w:tc>
          <w:tcPr>
            <w:tcW w:w="2935" w:type="dxa"/>
            <w:vAlign w:val="bottom"/>
          </w:tcPr>
          <w:p w14:paraId="25904870"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Risk assessment</w:t>
            </w:r>
          </w:p>
        </w:tc>
        <w:tc>
          <w:tcPr>
            <w:tcW w:w="894" w:type="dxa"/>
            <w:vAlign w:val="bottom"/>
          </w:tcPr>
          <w:p w14:paraId="2B37AE5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44.8%</w:t>
            </w:r>
          </w:p>
        </w:tc>
      </w:tr>
      <w:tr w:rsidR="004E5134" w:rsidRPr="00DA693A" w14:paraId="714D5329" w14:textId="77777777" w:rsidTr="00FF3166">
        <w:tc>
          <w:tcPr>
            <w:tcW w:w="961" w:type="dxa"/>
            <w:vAlign w:val="bottom"/>
          </w:tcPr>
          <w:p w14:paraId="3B75B4F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41.0%</w:t>
            </w:r>
          </w:p>
        </w:tc>
        <w:tc>
          <w:tcPr>
            <w:tcW w:w="2935" w:type="dxa"/>
            <w:vAlign w:val="bottom"/>
          </w:tcPr>
          <w:p w14:paraId="2DACDC00" w14:textId="07C63AC3" w:rsidR="004E5134" w:rsidRPr="00DA693A" w:rsidRDefault="004E5134" w:rsidP="00CC2E81">
            <w:pPr>
              <w:spacing w:before="100" w:beforeAutospacing="1" w:after="100" w:afterAutospacing="1" w:line="360" w:lineRule="auto"/>
            </w:pPr>
            <w:r w:rsidRPr="00DA693A">
              <w:rPr>
                <w:rFonts w:ascii="Calibri" w:hAnsi="Calibri" w:cs="Calibri"/>
                <w:color w:val="000000"/>
              </w:rPr>
              <w:t xml:space="preserve">Tools to detect/identify issues </w:t>
            </w:r>
          </w:p>
        </w:tc>
        <w:tc>
          <w:tcPr>
            <w:tcW w:w="894" w:type="dxa"/>
            <w:vAlign w:val="bottom"/>
          </w:tcPr>
          <w:p w14:paraId="5B80A52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37.9%</w:t>
            </w:r>
          </w:p>
        </w:tc>
      </w:tr>
      <w:tr w:rsidR="004E5134" w:rsidRPr="00DA693A" w14:paraId="541B77BB" w14:textId="77777777" w:rsidTr="00FF3166">
        <w:tc>
          <w:tcPr>
            <w:tcW w:w="961" w:type="dxa"/>
            <w:vAlign w:val="bottom"/>
          </w:tcPr>
          <w:p w14:paraId="3E7C455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36.2%</w:t>
            </w:r>
          </w:p>
        </w:tc>
        <w:tc>
          <w:tcPr>
            <w:tcW w:w="2935" w:type="dxa"/>
            <w:vAlign w:val="bottom"/>
          </w:tcPr>
          <w:p w14:paraId="407D7878"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Cloud technologies</w:t>
            </w:r>
          </w:p>
        </w:tc>
        <w:tc>
          <w:tcPr>
            <w:tcW w:w="894" w:type="dxa"/>
            <w:vAlign w:val="bottom"/>
          </w:tcPr>
          <w:p w14:paraId="28836737"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41.5%</w:t>
            </w:r>
          </w:p>
        </w:tc>
      </w:tr>
      <w:tr w:rsidR="004E5134" w:rsidRPr="00DA693A" w14:paraId="7AB01787" w14:textId="77777777" w:rsidTr="00FF3166">
        <w:tc>
          <w:tcPr>
            <w:tcW w:w="961" w:type="dxa"/>
            <w:vAlign w:val="bottom"/>
          </w:tcPr>
          <w:p w14:paraId="3CCD171A"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36.2%</w:t>
            </w:r>
          </w:p>
        </w:tc>
        <w:tc>
          <w:tcPr>
            <w:tcW w:w="2935" w:type="dxa"/>
            <w:vAlign w:val="bottom"/>
          </w:tcPr>
          <w:p w14:paraId="22FC15F1"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Vulnerability assessment</w:t>
            </w:r>
          </w:p>
        </w:tc>
        <w:tc>
          <w:tcPr>
            <w:tcW w:w="894" w:type="dxa"/>
            <w:vAlign w:val="bottom"/>
          </w:tcPr>
          <w:p w14:paraId="3BE27BB1"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42.5%</w:t>
            </w:r>
          </w:p>
        </w:tc>
      </w:tr>
      <w:tr w:rsidR="004E5134" w:rsidRPr="00DA693A" w14:paraId="39933433" w14:textId="77777777" w:rsidTr="00FF3166">
        <w:tc>
          <w:tcPr>
            <w:tcW w:w="961" w:type="dxa"/>
            <w:vAlign w:val="bottom"/>
          </w:tcPr>
          <w:p w14:paraId="50839B44"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36.2%</w:t>
            </w:r>
          </w:p>
        </w:tc>
        <w:tc>
          <w:tcPr>
            <w:tcW w:w="2935" w:type="dxa"/>
            <w:vAlign w:val="bottom"/>
          </w:tcPr>
          <w:p w14:paraId="63E8580B" w14:textId="482A0DB9" w:rsidR="004E5134" w:rsidRPr="00DA693A" w:rsidRDefault="004E5134" w:rsidP="00CC2E81">
            <w:pPr>
              <w:spacing w:before="100" w:beforeAutospacing="1" w:after="100" w:afterAutospacing="1" w:line="360" w:lineRule="auto"/>
            </w:pPr>
            <w:r w:rsidRPr="00DA693A">
              <w:rPr>
                <w:rFonts w:ascii="Calibri" w:hAnsi="Calibri" w:cs="Calibri"/>
                <w:color w:val="000000"/>
              </w:rPr>
              <w:t>Operating Systems</w:t>
            </w:r>
          </w:p>
        </w:tc>
        <w:tc>
          <w:tcPr>
            <w:tcW w:w="894" w:type="dxa"/>
            <w:vAlign w:val="bottom"/>
          </w:tcPr>
          <w:p w14:paraId="63867DC1"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20.7%</w:t>
            </w:r>
          </w:p>
        </w:tc>
      </w:tr>
      <w:tr w:rsidR="004E5134" w:rsidRPr="00DA693A" w14:paraId="61DCB3BB" w14:textId="77777777" w:rsidTr="00FF3166">
        <w:tc>
          <w:tcPr>
            <w:tcW w:w="961" w:type="dxa"/>
            <w:vAlign w:val="bottom"/>
          </w:tcPr>
          <w:p w14:paraId="5F464F42"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31.4%</w:t>
            </w:r>
          </w:p>
        </w:tc>
        <w:tc>
          <w:tcPr>
            <w:tcW w:w="2935" w:type="dxa"/>
            <w:vAlign w:val="bottom"/>
          </w:tcPr>
          <w:p w14:paraId="275B82CD"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Incident Response</w:t>
            </w:r>
          </w:p>
        </w:tc>
        <w:tc>
          <w:tcPr>
            <w:tcW w:w="894" w:type="dxa"/>
            <w:vAlign w:val="bottom"/>
          </w:tcPr>
          <w:p w14:paraId="7CB5B48E"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35.6%</w:t>
            </w:r>
          </w:p>
        </w:tc>
      </w:tr>
      <w:tr w:rsidR="004E5134" w:rsidRPr="004668FE" w14:paraId="5EC051ED" w14:textId="77777777" w:rsidTr="00FF3166">
        <w:tc>
          <w:tcPr>
            <w:tcW w:w="961" w:type="dxa"/>
            <w:vAlign w:val="bottom"/>
          </w:tcPr>
          <w:p w14:paraId="6AE7E86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27.6%</w:t>
            </w:r>
          </w:p>
        </w:tc>
        <w:tc>
          <w:tcPr>
            <w:tcW w:w="2935" w:type="dxa"/>
            <w:vAlign w:val="bottom"/>
          </w:tcPr>
          <w:p w14:paraId="5DCC48C1" w14:textId="39D99032" w:rsidR="004E5134" w:rsidRPr="00DA693A" w:rsidRDefault="004E5134" w:rsidP="00CC2E81">
            <w:pPr>
              <w:spacing w:before="100" w:beforeAutospacing="1" w:after="100" w:afterAutospacing="1" w:line="360" w:lineRule="auto"/>
            </w:pPr>
            <w:r w:rsidRPr="00DA693A">
              <w:rPr>
                <w:rFonts w:ascii="Calibri" w:hAnsi="Calibri" w:cs="Calibri"/>
                <w:color w:val="000000"/>
              </w:rPr>
              <w:t xml:space="preserve">Regulatory/legal requirements </w:t>
            </w:r>
          </w:p>
        </w:tc>
        <w:tc>
          <w:tcPr>
            <w:tcW w:w="894" w:type="dxa"/>
            <w:vAlign w:val="bottom"/>
          </w:tcPr>
          <w:p w14:paraId="011005EF"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42.5%</w:t>
            </w:r>
          </w:p>
        </w:tc>
      </w:tr>
      <w:tr w:rsidR="004E5134" w:rsidRPr="00DA693A" w14:paraId="239B5B3B" w14:textId="77777777" w:rsidTr="00FF3166">
        <w:tc>
          <w:tcPr>
            <w:tcW w:w="961" w:type="dxa"/>
            <w:vAlign w:val="bottom"/>
          </w:tcPr>
          <w:p w14:paraId="1313E278"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24.8%</w:t>
            </w:r>
          </w:p>
        </w:tc>
        <w:tc>
          <w:tcPr>
            <w:tcW w:w="2935" w:type="dxa"/>
            <w:vAlign w:val="bottom"/>
          </w:tcPr>
          <w:p w14:paraId="7CE3CDB6"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Networking / telecom</w:t>
            </w:r>
          </w:p>
        </w:tc>
        <w:tc>
          <w:tcPr>
            <w:tcW w:w="894" w:type="dxa"/>
            <w:vAlign w:val="bottom"/>
          </w:tcPr>
          <w:p w14:paraId="4A57C131"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16.1%</w:t>
            </w:r>
          </w:p>
        </w:tc>
      </w:tr>
    </w:tbl>
    <w:p w14:paraId="14F3B416" w14:textId="6F9F5748" w:rsidR="007F762C" w:rsidRDefault="004E5134" w:rsidP="004E5134">
      <w:pPr>
        <w:pStyle w:val="Head1"/>
        <w:numPr>
          <w:ilvl w:val="0"/>
          <w:numId w:val="41"/>
        </w:numPr>
        <w:spacing w:line="264" w:lineRule="auto"/>
      </w:pPr>
      <w:r>
        <w:t>PROFESSIONAL SKILLS</w:t>
      </w:r>
    </w:p>
    <w:p w14:paraId="3618A353" w14:textId="28E1F85C" w:rsidR="004E5134" w:rsidRDefault="004E5134" w:rsidP="004E5134">
      <w:r>
        <w:t xml:space="preserve">In terms of Professional Skills needed for entry-level and early-career cybersecurity roles, the top skill for both entry-level and early-career roles was Critical Thinking.  This was followed by Attention to Detail and Problem-Solving Skills; Collaboration and Teamwork.   </w:t>
      </w:r>
    </w:p>
    <w:p w14:paraId="29707EFF" w14:textId="4127FCC3" w:rsidR="004E5134" w:rsidRDefault="004E5134" w:rsidP="004E5134">
      <w:r>
        <w:t xml:space="preserve"> </w:t>
      </w:r>
    </w:p>
    <w:tbl>
      <w:tblPr>
        <w:tblStyle w:val="TableGrid"/>
        <w:tblW w:w="0" w:type="auto"/>
        <w:tblLook w:val="04A0" w:firstRow="1" w:lastRow="0" w:firstColumn="1" w:lastColumn="0" w:noHBand="0" w:noVBand="1"/>
      </w:tblPr>
      <w:tblGrid>
        <w:gridCol w:w="1231"/>
        <w:gridCol w:w="2431"/>
        <w:gridCol w:w="1128"/>
      </w:tblGrid>
      <w:tr w:rsidR="004E5134" w:rsidRPr="00DA693A" w14:paraId="0AFD17C1" w14:textId="77777777" w:rsidTr="004E5134">
        <w:tc>
          <w:tcPr>
            <w:tcW w:w="1231" w:type="dxa"/>
          </w:tcPr>
          <w:p w14:paraId="7C71E165" w14:textId="49D07231" w:rsidR="004E5134" w:rsidRPr="00DA693A" w:rsidRDefault="004E5134" w:rsidP="00CC2E81">
            <w:pPr>
              <w:spacing w:before="100" w:beforeAutospacing="1" w:after="100" w:afterAutospacing="1"/>
            </w:pPr>
            <w:r w:rsidRPr="00DA693A">
              <w:t xml:space="preserve">Entry Level Percent </w:t>
            </w:r>
          </w:p>
        </w:tc>
        <w:tc>
          <w:tcPr>
            <w:tcW w:w="2431" w:type="dxa"/>
          </w:tcPr>
          <w:p w14:paraId="37E0C7C5" w14:textId="77777777" w:rsidR="004E5134" w:rsidRPr="00DA693A" w:rsidRDefault="004E5134" w:rsidP="00CC2E81">
            <w:pPr>
              <w:spacing w:before="100" w:beforeAutospacing="1" w:after="100" w:afterAutospacing="1"/>
            </w:pPr>
            <w:r w:rsidRPr="00DA693A">
              <w:t>Professional Skills</w:t>
            </w:r>
          </w:p>
        </w:tc>
        <w:tc>
          <w:tcPr>
            <w:tcW w:w="1128" w:type="dxa"/>
          </w:tcPr>
          <w:p w14:paraId="455C8F95" w14:textId="4F3D28AF" w:rsidR="004E5134" w:rsidRPr="00DA693A" w:rsidRDefault="004E5134" w:rsidP="00CC2E81">
            <w:pPr>
              <w:spacing w:before="100" w:beforeAutospacing="1" w:after="100" w:afterAutospacing="1"/>
            </w:pPr>
            <w:r w:rsidRPr="00DA693A">
              <w:t xml:space="preserve">Early Career Percent </w:t>
            </w:r>
          </w:p>
        </w:tc>
      </w:tr>
      <w:tr w:rsidR="004E5134" w:rsidRPr="00DA693A" w14:paraId="1CF886C8" w14:textId="77777777" w:rsidTr="004E5134">
        <w:tc>
          <w:tcPr>
            <w:tcW w:w="1231" w:type="dxa"/>
            <w:vAlign w:val="bottom"/>
          </w:tcPr>
          <w:p w14:paraId="2A850BAD"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73.3%</w:t>
            </w:r>
          </w:p>
        </w:tc>
        <w:tc>
          <w:tcPr>
            <w:tcW w:w="2431" w:type="dxa"/>
            <w:vAlign w:val="bottom"/>
          </w:tcPr>
          <w:p w14:paraId="4D1DA70A"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Critical thinking</w:t>
            </w:r>
          </w:p>
        </w:tc>
        <w:tc>
          <w:tcPr>
            <w:tcW w:w="1128" w:type="dxa"/>
            <w:vAlign w:val="bottom"/>
          </w:tcPr>
          <w:p w14:paraId="059E1782"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69.0%</w:t>
            </w:r>
          </w:p>
        </w:tc>
      </w:tr>
      <w:tr w:rsidR="004E5134" w:rsidRPr="00DA693A" w14:paraId="34A35743" w14:textId="77777777" w:rsidTr="004E5134">
        <w:tc>
          <w:tcPr>
            <w:tcW w:w="1231" w:type="dxa"/>
            <w:vAlign w:val="bottom"/>
          </w:tcPr>
          <w:p w14:paraId="0557751C"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61.9%</w:t>
            </w:r>
          </w:p>
        </w:tc>
        <w:tc>
          <w:tcPr>
            <w:tcW w:w="2431" w:type="dxa"/>
            <w:vAlign w:val="bottom"/>
          </w:tcPr>
          <w:p w14:paraId="07346D78"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Attention to detail</w:t>
            </w:r>
          </w:p>
        </w:tc>
        <w:tc>
          <w:tcPr>
            <w:tcW w:w="1128" w:type="dxa"/>
            <w:vAlign w:val="bottom"/>
          </w:tcPr>
          <w:p w14:paraId="01585436"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35.6%</w:t>
            </w:r>
          </w:p>
        </w:tc>
      </w:tr>
      <w:tr w:rsidR="004E5134" w:rsidRPr="00DA693A" w14:paraId="6F302AA9" w14:textId="77777777" w:rsidTr="004E5134">
        <w:tc>
          <w:tcPr>
            <w:tcW w:w="1231" w:type="dxa"/>
            <w:vAlign w:val="bottom"/>
          </w:tcPr>
          <w:p w14:paraId="79576F4B"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58.1%</w:t>
            </w:r>
          </w:p>
        </w:tc>
        <w:tc>
          <w:tcPr>
            <w:tcW w:w="2431" w:type="dxa"/>
            <w:vAlign w:val="bottom"/>
          </w:tcPr>
          <w:p w14:paraId="2A55804E"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Collaboration / teamwork</w:t>
            </w:r>
          </w:p>
        </w:tc>
        <w:tc>
          <w:tcPr>
            <w:tcW w:w="1128" w:type="dxa"/>
            <w:vAlign w:val="bottom"/>
          </w:tcPr>
          <w:p w14:paraId="2D27E95C"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49.4%</w:t>
            </w:r>
          </w:p>
        </w:tc>
      </w:tr>
      <w:tr w:rsidR="004E5134" w:rsidRPr="00DA693A" w14:paraId="79CC5D88" w14:textId="77777777" w:rsidTr="004E5134">
        <w:tc>
          <w:tcPr>
            <w:tcW w:w="1231" w:type="dxa"/>
            <w:vAlign w:val="bottom"/>
          </w:tcPr>
          <w:p w14:paraId="25E19719"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54.3%</w:t>
            </w:r>
          </w:p>
        </w:tc>
        <w:tc>
          <w:tcPr>
            <w:tcW w:w="2431" w:type="dxa"/>
            <w:vAlign w:val="bottom"/>
          </w:tcPr>
          <w:p w14:paraId="5A6E5DBE"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Problem solving</w:t>
            </w:r>
          </w:p>
        </w:tc>
        <w:tc>
          <w:tcPr>
            <w:tcW w:w="1128" w:type="dxa"/>
            <w:vAlign w:val="bottom"/>
          </w:tcPr>
          <w:p w14:paraId="570F1CB0"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49.4%</w:t>
            </w:r>
          </w:p>
        </w:tc>
      </w:tr>
      <w:tr w:rsidR="004E5134" w:rsidRPr="00DA693A" w14:paraId="3869EC93" w14:textId="77777777" w:rsidTr="004E5134">
        <w:tc>
          <w:tcPr>
            <w:tcW w:w="1231" w:type="dxa"/>
            <w:vAlign w:val="bottom"/>
          </w:tcPr>
          <w:p w14:paraId="302D2331"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41.0%</w:t>
            </w:r>
          </w:p>
        </w:tc>
        <w:tc>
          <w:tcPr>
            <w:tcW w:w="2431" w:type="dxa"/>
            <w:vAlign w:val="bottom"/>
          </w:tcPr>
          <w:p w14:paraId="4EABE125"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Written communication</w:t>
            </w:r>
          </w:p>
        </w:tc>
        <w:tc>
          <w:tcPr>
            <w:tcW w:w="1128" w:type="dxa"/>
            <w:vAlign w:val="bottom"/>
          </w:tcPr>
          <w:p w14:paraId="32E93A2F"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42.5%</w:t>
            </w:r>
          </w:p>
        </w:tc>
      </w:tr>
      <w:tr w:rsidR="004E5134" w:rsidRPr="00DA693A" w14:paraId="00BAF0D2" w14:textId="77777777" w:rsidTr="004E5134">
        <w:tc>
          <w:tcPr>
            <w:tcW w:w="1231" w:type="dxa"/>
            <w:vAlign w:val="bottom"/>
          </w:tcPr>
          <w:p w14:paraId="52A59287"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39.0%</w:t>
            </w:r>
          </w:p>
        </w:tc>
        <w:tc>
          <w:tcPr>
            <w:tcW w:w="2431" w:type="dxa"/>
            <w:vAlign w:val="bottom"/>
          </w:tcPr>
          <w:p w14:paraId="34F317B1"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Oral communication</w:t>
            </w:r>
          </w:p>
        </w:tc>
        <w:tc>
          <w:tcPr>
            <w:tcW w:w="1128" w:type="dxa"/>
            <w:vAlign w:val="bottom"/>
          </w:tcPr>
          <w:p w14:paraId="6CE0A230"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44.8%</w:t>
            </w:r>
          </w:p>
        </w:tc>
      </w:tr>
      <w:tr w:rsidR="004E5134" w:rsidRPr="00DA693A" w14:paraId="615029D6" w14:textId="77777777" w:rsidTr="004E5134">
        <w:tc>
          <w:tcPr>
            <w:tcW w:w="1231" w:type="dxa"/>
            <w:vAlign w:val="bottom"/>
          </w:tcPr>
          <w:p w14:paraId="1EB552A0"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35.2%</w:t>
            </w:r>
          </w:p>
        </w:tc>
        <w:tc>
          <w:tcPr>
            <w:tcW w:w="2431" w:type="dxa"/>
            <w:vAlign w:val="bottom"/>
          </w:tcPr>
          <w:p w14:paraId="2D2F8FA8" w14:textId="166C505C" w:rsidR="004E5134" w:rsidRPr="00DA693A" w:rsidRDefault="004E5134" w:rsidP="00CC2E81">
            <w:pPr>
              <w:spacing w:before="100" w:beforeAutospacing="1" w:after="100" w:afterAutospacing="1" w:line="360" w:lineRule="auto"/>
            </w:pPr>
            <w:r w:rsidRPr="00DA693A">
              <w:rPr>
                <w:rFonts w:ascii="Calibri" w:hAnsi="Calibri" w:cs="Calibri"/>
                <w:color w:val="000000"/>
              </w:rPr>
              <w:t>Self-learner</w:t>
            </w:r>
          </w:p>
        </w:tc>
        <w:tc>
          <w:tcPr>
            <w:tcW w:w="1128" w:type="dxa"/>
            <w:vAlign w:val="bottom"/>
          </w:tcPr>
          <w:p w14:paraId="14A6E29C"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26.4%</w:t>
            </w:r>
          </w:p>
        </w:tc>
      </w:tr>
      <w:tr w:rsidR="004E5134" w:rsidRPr="00DA693A" w14:paraId="771E1AF2" w14:textId="77777777" w:rsidTr="004E5134">
        <w:tc>
          <w:tcPr>
            <w:tcW w:w="1231" w:type="dxa"/>
            <w:vAlign w:val="bottom"/>
          </w:tcPr>
          <w:p w14:paraId="5B61F0E9"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24.8%</w:t>
            </w:r>
          </w:p>
        </w:tc>
        <w:tc>
          <w:tcPr>
            <w:tcW w:w="2431" w:type="dxa"/>
            <w:vAlign w:val="bottom"/>
          </w:tcPr>
          <w:p w14:paraId="57640E08"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Innovative thinking</w:t>
            </w:r>
          </w:p>
        </w:tc>
        <w:tc>
          <w:tcPr>
            <w:tcW w:w="1128" w:type="dxa"/>
            <w:vAlign w:val="bottom"/>
          </w:tcPr>
          <w:p w14:paraId="347B3E9F"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33.3%</w:t>
            </w:r>
          </w:p>
        </w:tc>
      </w:tr>
      <w:tr w:rsidR="004E5134" w:rsidRPr="00DA693A" w14:paraId="209106EB" w14:textId="77777777" w:rsidTr="004E5134">
        <w:tc>
          <w:tcPr>
            <w:tcW w:w="1231" w:type="dxa"/>
            <w:vAlign w:val="bottom"/>
          </w:tcPr>
          <w:p w14:paraId="58FCB72A"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15.2%</w:t>
            </w:r>
          </w:p>
        </w:tc>
        <w:tc>
          <w:tcPr>
            <w:tcW w:w="2431" w:type="dxa"/>
            <w:vAlign w:val="bottom"/>
          </w:tcPr>
          <w:p w14:paraId="720BACD5" w14:textId="5A508A44" w:rsidR="004E5134" w:rsidRPr="00DA693A" w:rsidRDefault="004E5134" w:rsidP="00CC2E81">
            <w:pPr>
              <w:spacing w:before="100" w:beforeAutospacing="1" w:after="100" w:afterAutospacing="1" w:line="360" w:lineRule="auto"/>
            </w:pPr>
            <w:r w:rsidRPr="00DA693A">
              <w:rPr>
                <w:rFonts w:ascii="Calibri" w:hAnsi="Calibri" w:cs="Calibri"/>
                <w:color w:val="000000"/>
              </w:rPr>
              <w:t>Time</w:t>
            </w:r>
            <w:r w:rsidR="00094973">
              <w:rPr>
                <w:rFonts w:ascii="Calibri" w:hAnsi="Calibri" w:cs="Calibri"/>
                <w:color w:val="000000"/>
              </w:rPr>
              <w:t>/project mgmt</w:t>
            </w:r>
          </w:p>
        </w:tc>
        <w:tc>
          <w:tcPr>
            <w:tcW w:w="1128" w:type="dxa"/>
            <w:vAlign w:val="bottom"/>
          </w:tcPr>
          <w:p w14:paraId="44F25AC5"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27.6%</w:t>
            </w:r>
          </w:p>
        </w:tc>
      </w:tr>
      <w:tr w:rsidR="004E5134" w14:paraId="15D174D1" w14:textId="77777777" w:rsidTr="004E5134">
        <w:tc>
          <w:tcPr>
            <w:tcW w:w="1231" w:type="dxa"/>
            <w:vAlign w:val="bottom"/>
          </w:tcPr>
          <w:p w14:paraId="76C3268E" w14:textId="77777777" w:rsidR="004E5134" w:rsidRPr="00DA693A" w:rsidRDefault="004E5134" w:rsidP="00CC2E81">
            <w:pPr>
              <w:spacing w:before="100" w:beforeAutospacing="1" w:after="100" w:afterAutospacing="1" w:line="360" w:lineRule="auto"/>
            </w:pPr>
            <w:r w:rsidRPr="00DA693A">
              <w:rPr>
                <w:rFonts w:ascii="Calibri" w:hAnsi="Calibri" w:cs="Calibri"/>
                <w:color w:val="000000"/>
              </w:rPr>
              <w:t>12.4%</w:t>
            </w:r>
          </w:p>
        </w:tc>
        <w:tc>
          <w:tcPr>
            <w:tcW w:w="2431" w:type="dxa"/>
            <w:vAlign w:val="bottom"/>
          </w:tcPr>
          <w:p w14:paraId="37AB16D7" w14:textId="5322C9B4" w:rsidR="004E5134" w:rsidRPr="00DA693A" w:rsidRDefault="004E5134" w:rsidP="00CC2E81">
            <w:pPr>
              <w:spacing w:before="100" w:beforeAutospacing="1" w:after="100" w:afterAutospacing="1" w:line="360" w:lineRule="auto"/>
            </w:pPr>
            <w:r w:rsidRPr="00DA693A">
              <w:rPr>
                <w:rFonts w:ascii="Calibri" w:hAnsi="Calibri" w:cs="Calibri"/>
                <w:color w:val="000000"/>
              </w:rPr>
              <w:t>Customer</w:t>
            </w:r>
            <w:r w:rsidR="00094973">
              <w:rPr>
                <w:rFonts w:ascii="Calibri" w:hAnsi="Calibri" w:cs="Calibri"/>
                <w:color w:val="000000"/>
              </w:rPr>
              <w:t xml:space="preserve"> </w:t>
            </w:r>
            <w:r w:rsidRPr="00DA693A">
              <w:rPr>
                <w:rFonts w:ascii="Calibri" w:hAnsi="Calibri" w:cs="Calibri"/>
                <w:color w:val="000000"/>
              </w:rPr>
              <w:t xml:space="preserve">relationship </w:t>
            </w:r>
            <w:r w:rsidR="00094973">
              <w:rPr>
                <w:rFonts w:ascii="Calibri" w:hAnsi="Calibri" w:cs="Calibri"/>
                <w:color w:val="000000"/>
              </w:rPr>
              <w:t>mgmt</w:t>
            </w:r>
          </w:p>
        </w:tc>
        <w:tc>
          <w:tcPr>
            <w:tcW w:w="1128" w:type="dxa"/>
            <w:vAlign w:val="bottom"/>
          </w:tcPr>
          <w:p w14:paraId="3997F652" w14:textId="77777777" w:rsidR="004E5134" w:rsidRDefault="004E5134" w:rsidP="00CC2E81">
            <w:pPr>
              <w:spacing w:before="100" w:beforeAutospacing="1" w:after="100" w:afterAutospacing="1" w:line="360" w:lineRule="auto"/>
            </w:pPr>
            <w:r w:rsidRPr="00DA693A">
              <w:rPr>
                <w:rFonts w:ascii="Calibri" w:hAnsi="Calibri" w:cs="Calibri"/>
                <w:color w:val="000000"/>
              </w:rPr>
              <w:t>21.8%</w:t>
            </w:r>
          </w:p>
        </w:tc>
      </w:tr>
    </w:tbl>
    <w:p w14:paraId="6F84FC03" w14:textId="0499C44D" w:rsidR="008E5E33" w:rsidRDefault="008E5E33" w:rsidP="008E5E33">
      <w:pPr>
        <w:spacing w:before="100" w:beforeAutospacing="1" w:after="100" w:afterAutospacing="1" w:line="240" w:lineRule="auto"/>
      </w:pPr>
      <w:r>
        <w:t>In the open dialogues between practitioners and academic professionals, there was a preference for individuals who are self-learners, or life-long learners</w:t>
      </w:r>
      <w:r w:rsidR="0097075F">
        <w:t>.</w:t>
      </w:r>
      <w:r>
        <w:t xml:space="preserve"> Communications skills, including oral and written communications, were considered important for both entry-level and early-career cybersecurity professionals.  Time management and project management were more important skills for early-career professionals.</w:t>
      </w:r>
    </w:p>
    <w:p w14:paraId="63511D66" w14:textId="5D5308BE" w:rsidR="008E5E33" w:rsidRDefault="00B70549" w:rsidP="00EB2401">
      <w:pPr>
        <w:pStyle w:val="ListParagraph"/>
        <w:rPr>
          <w:lang w:eastAsia="zh-CN"/>
        </w:rPr>
      </w:pPr>
      <w:r>
        <w:rPr>
          <w:lang w:eastAsia="zh-CN"/>
        </w:rPr>
        <w:t>PRIMARY TAKEAWAYS</w:t>
      </w:r>
    </w:p>
    <w:p w14:paraId="6955A532" w14:textId="7831F312" w:rsidR="00B70549" w:rsidRDefault="00B70549" w:rsidP="00B70549">
      <w:pPr>
        <w:spacing w:before="100" w:beforeAutospacing="1" w:after="100" w:afterAutospacing="1" w:line="240" w:lineRule="auto"/>
      </w:pPr>
      <w:r>
        <w:t xml:space="preserve">Entry-level positions rely more on operational skills/knowledge.  Both technical skills and professional skills were difficult-to-find.  These “difficult-to-find” skills included cloud technologies, cybersecurity frameworks, and vulnerability assessment at the entry-level, and both risk assessment and cloud technologies at the early-career level.  Professional skills (critical thinking, problem-solving) are more difficult to find than tangible/operational skills.  </w:t>
      </w:r>
      <w:r w:rsidRPr="00E53CE9">
        <w:t>One of the biggest implications from both the data and from the discussion sessions is that curriculum must firmly embed professional skill development within technical skills development.  While we see that understanding the fundamentals is important to landing early jobs in this field, we have evidence that employers find it just as difficult to find talent possessing strong professional skills that are contextualized to the field of cybersecurity.  General writing courses in an undergrad curriculum are not enough – institutes of higher ed need to evaluate their curriculum on both their ability to meet technical learning objectives as well as professional skill-related learning objectives throughout the entire curriculum.</w:t>
      </w:r>
      <w:r w:rsidR="006D1CFF">
        <w:t xml:space="preserve">  </w:t>
      </w:r>
      <w:r w:rsidRPr="00DB0176">
        <w:t xml:space="preserve">In addition, demonstrating understanding of cybersecurity roles and responsibilities is </w:t>
      </w:r>
      <w:r>
        <w:t>i</w:t>
      </w:r>
      <w:r w:rsidRPr="00DB0176">
        <w:t xml:space="preserve">mportant.  </w:t>
      </w:r>
    </w:p>
    <w:p w14:paraId="7B638161" w14:textId="387B3C7E" w:rsidR="00F7638C" w:rsidRDefault="00F7638C" w:rsidP="00F7638C">
      <w:pPr>
        <w:pStyle w:val="ListParagraph"/>
      </w:pPr>
      <w:r>
        <w:lastRenderedPageBreak/>
        <w:t xml:space="preserve"> REFERENCES</w:t>
      </w:r>
    </w:p>
    <w:p w14:paraId="57581490" w14:textId="77777777" w:rsidR="00F7638C" w:rsidRPr="00DF4931" w:rsidRDefault="00F7638C" w:rsidP="00DF4931">
      <w:pPr>
        <w:pStyle w:val="ListParagraph"/>
        <w:numPr>
          <w:ilvl w:val="0"/>
          <w:numId w:val="42"/>
        </w:numPr>
        <w:shd w:val="clear" w:color="auto" w:fill="FFFFFF"/>
        <w:spacing w:after="120"/>
        <w:ind w:left="432"/>
        <w:rPr>
          <w:rFonts w:cs="Arial"/>
          <w:b w:val="0"/>
          <w:bCs w:val="0"/>
        </w:rPr>
      </w:pPr>
      <w:r w:rsidRPr="00DF4931">
        <w:rPr>
          <w:rFonts w:cs="Arial"/>
          <w:b w:val="0"/>
          <w:bCs w:val="0"/>
        </w:rPr>
        <w:t>Aasheim, Cheryl L; Williams, Susan; Butler, E Sonny. (2009). “</w:t>
      </w:r>
      <w:hyperlink r:id="rId16" w:tooltip="KNOWLEDGE AND SKILL REQUIREMENTS FOR IT GRADUATES" w:history="1">
        <w:r w:rsidRPr="00DF4931">
          <w:rPr>
            <w:rFonts w:cs="Arial"/>
            <w:b w:val="0"/>
            <w:bCs w:val="0"/>
          </w:rPr>
          <w:t>Knowledge and Skill Requirements For IT Graduates</w:t>
        </w:r>
      </w:hyperlink>
      <w:r w:rsidRPr="00DF4931">
        <w:rPr>
          <w:rFonts w:cs="Arial"/>
          <w:b w:val="0"/>
          <w:bCs w:val="0"/>
        </w:rPr>
        <w:t xml:space="preserve">,” </w:t>
      </w:r>
      <w:r w:rsidRPr="00DF4931">
        <w:rPr>
          <w:rFonts w:cs="Arial"/>
          <w:b w:val="0"/>
          <w:bCs w:val="0"/>
          <w:i/>
        </w:rPr>
        <w:t>The Journal of Computer Information Systems</w:t>
      </w:r>
      <w:r w:rsidRPr="00DF4931">
        <w:rPr>
          <w:rFonts w:cs="Arial"/>
          <w:b w:val="0"/>
          <w:bCs w:val="0"/>
          <w:noProof/>
        </w:rPr>
        <w:drawing>
          <wp:inline distT="0" distB="0" distL="0" distR="0" wp14:anchorId="6C97E13E" wp14:editId="19A901A9">
            <wp:extent cx="28575" cy="28575"/>
            <wp:effectExtent l="0" t="0" r="0" b="0"/>
            <wp:docPr id="1" name="Picture 1" descr="http://search.proquest.com/assets/r2013.1.0-8/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earch.proquest.com/assets/r2013.1.0-8/core/spacer.gif"/>
                    <pic:cNvPicPr>
                      <a:picLocks noChangeAspect="1" noChangeArrowheads="1"/>
                    </pic:cNvPicPr>
                  </pic:nvPicPr>
                  <pic:blipFill>
                    <a:blip r:embed="rId17"/>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DF4931">
        <w:rPr>
          <w:rFonts w:cs="Arial"/>
          <w:b w:val="0"/>
          <w:bCs w:val="0"/>
        </w:rPr>
        <w:t xml:space="preserve">49:3, 48-53. </w:t>
      </w:r>
    </w:p>
    <w:p w14:paraId="6919B346" w14:textId="77777777" w:rsidR="00F7638C" w:rsidRPr="00DF4931" w:rsidRDefault="00F7638C" w:rsidP="00DF4931">
      <w:pPr>
        <w:pStyle w:val="ListParagraph"/>
        <w:numPr>
          <w:ilvl w:val="0"/>
          <w:numId w:val="42"/>
        </w:numPr>
        <w:ind w:left="432"/>
        <w:outlineLvl w:val="2"/>
        <w:rPr>
          <w:rFonts w:eastAsia="Times New Roman" w:cs="Times New Roman"/>
          <w:b w:val="0"/>
          <w:bCs w:val="0"/>
          <w:lang w:val="en"/>
        </w:rPr>
      </w:pPr>
      <w:r w:rsidRPr="00DF4931">
        <w:rPr>
          <w:b w:val="0"/>
          <w:bCs w:val="0"/>
        </w:rPr>
        <w:t xml:space="preserve">Chia-An, Chao, Shih, Stephen C., (2005).  “Organizational and End-User Information Systems Job Market:  An Analysis of Job Types and Skill Requirements,” </w:t>
      </w:r>
      <w:r w:rsidRPr="00DF4931">
        <w:rPr>
          <w:rFonts w:eastAsia="Times New Roman" w:cs="Times New Roman"/>
          <w:b w:val="0"/>
          <w:bCs w:val="0"/>
          <w:i/>
          <w:lang w:val="en"/>
        </w:rPr>
        <w:t>Information Technology, Learning, and Performance Journal</w:t>
      </w:r>
      <w:r w:rsidRPr="00DF4931">
        <w:rPr>
          <w:rFonts w:eastAsia="Times New Roman" w:cs="Times New Roman"/>
          <w:b w:val="0"/>
          <w:bCs w:val="0"/>
          <w:noProof/>
        </w:rPr>
        <mc:AlternateContent>
          <mc:Choice Requires="wps">
            <w:drawing>
              <wp:inline distT="0" distB="0" distL="0" distR="0" wp14:anchorId="03B166DF" wp14:editId="47C42E83">
                <wp:extent cx="25400" cy="25400"/>
                <wp:effectExtent l="0" t="0" r="0" b="0"/>
                <wp:docPr id="14" name="AutoShape 15" descr="http://search.proquest.com.libproxy.siue.edu/assets/r20151.7.0-4/core/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0AEA1" id="AutoShape 15" o:spid="_x0000_s1026" alt="http://search.proquest.com.libproxy.siue.edu/assets/r20151.7.0-4/core/spacer.gif" style="width:2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" filled="f" stroked="f">
                <o:lock v:ext="edit" aspectratio="t"/>
                <w10:anchorlock/>
              </v:rect>
            </w:pict>
          </mc:Fallback>
        </mc:AlternateContent>
      </w:r>
      <w:r w:rsidRPr="00DF4931">
        <w:rPr>
          <w:rFonts w:eastAsia="Times New Roman" w:cs="Times New Roman"/>
          <w:b w:val="0"/>
          <w:bCs w:val="0"/>
          <w:lang w:val="en"/>
        </w:rPr>
        <w:t xml:space="preserve">23:2, 1-15. </w:t>
      </w:r>
    </w:p>
    <w:p w14:paraId="19FF71E7" w14:textId="77777777" w:rsidR="00F7638C" w:rsidRPr="00DF4931" w:rsidRDefault="00F7638C" w:rsidP="00DF4931">
      <w:pPr>
        <w:pStyle w:val="ListParagraph"/>
        <w:numPr>
          <w:ilvl w:val="0"/>
          <w:numId w:val="42"/>
        </w:numPr>
        <w:ind w:left="432"/>
        <w:rPr>
          <w:rFonts w:cs="Arial"/>
          <w:b w:val="0"/>
          <w:bCs w:val="0"/>
          <w:color w:val="333333"/>
          <w:lang w:val="en"/>
        </w:rPr>
      </w:pPr>
      <w:r w:rsidRPr="00DF4931">
        <w:rPr>
          <w:b w:val="0"/>
          <w:bCs w:val="0"/>
        </w:rPr>
        <w:t>Gallivan, Michael, Truex, Duane, and Kvasny, Lynette, (2004).  “</w:t>
      </w:r>
      <w:r w:rsidRPr="00DF4931">
        <w:rPr>
          <w:rFonts w:eastAsia="Times New Roman" w:cs="Arial"/>
          <w:b w:val="0"/>
          <w:bCs w:val="0"/>
          <w:color w:val="000000"/>
          <w:kern w:val="36"/>
        </w:rPr>
        <w:t xml:space="preserve">Changing patterns in IT skill sets 1988-2003: a content analysis of classified advertising,” </w:t>
      </w:r>
      <w:r w:rsidRPr="00DF4931">
        <w:rPr>
          <w:rFonts w:eastAsia="Times New Roman" w:cs="Arial"/>
          <w:b w:val="0"/>
          <w:bCs w:val="0"/>
          <w:i/>
          <w:color w:val="000000"/>
          <w:kern w:val="36"/>
        </w:rPr>
        <w:t>ACM SIGMIS Database</w:t>
      </w:r>
      <w:r w:rsidRPr="00DF4931">
        <w:rPr>
          <w:rFonts w:eastAsia="Times New Roman" w:cs="Arial"/>
          <w:b w:val="0"/>
          <w:bCs w:val="0"/>
          <w:color w:val="000000"/>
          <w:kern w:val="36"/>
        </w:rPr>
        <w:t>, 35:3, 64-87.</w:t>
      </w:r>
    </w:p>
    <w:p w14:paraId="77C16CDA" w14:textId="77777777" w:rsidR="00F7638C" w:rsidRPr="00DF4931" w:rsidRDefault="00F7638C" w:rsidP="00DF4931">
      <w:pPr>
        <w:pStyle w:val="ListParagraph"/>
        <w:numPr>
          <w:ilvl w:val="0"/>
          <w:numId w:val="42"/>
        </w:numPr>
        <w:ind w:left="432"/>
        <w:outlineLvl w:val="0"/>
        <w:rPr>
          <w:rFonts w:eastAsia="Times New Roman" w:cs="Times New Roman"/>
          <w:b w:val="0"/>
          <w:bCs w:val="0"/>
          <w:kern w:val="36"/>
          <w:lang w:val="en"/>
        </w:rPr>
      </w:pPr>
      <w:r w:rsidRPr="00DF4931">
        <w:rPr>
          <w:rFonts w:eastAsia="Times New Roman" w:cs="Times New Roman"/>
          <w:b w:val="0"/>
          <w:bCs w:val="0"/>
          <w:kern w:val="36"/>
          <w:lang w:val="en"/>
        </w:rPr>
        <w:t xml:space="preserve">Hawk, Stephen, Kaiser, Kate, Goles, Tim, Bullen, Christine, and Simon, Judith, (2012).  “The Information Technology Workforce: A Comparison of Critical Skills of Clients and </w:t>
      </w:r>
      <w:r w:rsidRPr="00DF4931">
        <w:rPr>
          <w:rFonts w:eastAsia="Times New Roman" w:cs="Times New Roman"/>
          <w:b w:val="0"/>
          <w:bCs w:val="0"/>
          <w:kern w:val="36"/>
          <w:lang w:val="en"/>
        </w:rPr>
        <w:t xml:space="preserve">Service Providers,” </w:t>
      </w:r>
      <w:r w:rsidRPr="00DF4931">
        <w:rPr>
          <w:rFonts w:eastAsia="Times New Roman" w:cs="Times New Roman"/>
          <w:b w:val="0"/>
          <w:bCs w:val="0"/>
          <w:i/>
          <w:kern w:val="36"/>
          <w:lang w:val="en"/>
        </w:rPr>
        <w:t>Information Systems Management</w:t>
      </w:r>
      <w:r w:rsidRPr="00DF4931">
        <w:rPr>
          <w:rFonts w:eastAsia="Times New Roman" w:cs="Times New Roman"/>
          <w:b w:val="0"/>
          <w:bCs w:val="0"/>
          <w:kern w:val="36"/>
          <w:lang w:val="en"/>
        </w:rPr>
        <w:t>, 29:1, 2.</w:t>
      </w:r>
    </w:p>
    <w:p w14:paraId="5279E167" w14:textId="77777777" w:rsidR="00F7638C" w:rsidRPr="00DF4931" w:rsidRDefault="00F7638C" w:rsidP="00DF4931">
      <w:pPr>
        <w:pStyle w:val="ListParagraph"/>
        <w:numPr>
          <w:ilvl w:val="0"/>
          <w:numId w:val="42"/>
        </w:numPr>
        <w:ind w:left="432"/>
        <w:outlineLvl w:val="0"/>
        <w:rPr>
          <w:rFonts w:eastAsia="Times New Roman" w:cs="Times New Roman"/>
          <w:b w:val="0"/>
          <w:bCs w:val="0"/>
          <w:kern w:val="36"/>
          <w:lang w:val="en"/>
        </w:rPr>
      </w:pPr>
      <w:r w:rsidRPr="00DF4931">
        <w:rPr>
          <w:rFonts w:eastAsia="Times New Roman" w:cs="Times New Roman"/>
          <w:b w:val="0"/>
          <w:bCs w:val="0"/>
          <w:kern w:val="36"/>
          <w:lang w:val="en"/>
        </w:rPr>
        <w:t xml:space="preserve">Kappelman, L., McLean, E., Johnson, V., Torres, R., Maurer, C., Snyder, M., Kim, K., and Guerra, K.  (2020).  “The 2020 SIM IT Trends Study.  The 2021 Comprehensive Report:  Issues Investments, Concerns, and Practices of Organizations and their IT Executives.” </w:t>
      </w:r>
      <w:hyperlink r:id="rId18" w:history="1">
        <w:r w:rsidRPr="00DF4931">
          <w:rPr>
            <w:rStyle w:val="Hyperlink"/>
            <w:rFonts w:eastAsia="Times New Roman" w:cs="Times New Roman"/>
            <w:b w:val="0"/>
            <w:bCs w:val="0"/>
            <w:color w:val="auto"/>
            <w:kern w:val="36"/>
            <w:u w:val="none"/>
            <w:lang w:val="en"/>
          </w:rPr>
          <w:t>http://www.simnet.org/IT-Trends</w:t>
        </w:r>
      </w:hyperlink>
      <w:r w:rsidRPr="00DF4931">
        <w:rPr>
          <w:rFonts w:eastAsia="Times New Roman" w:cs="Times New Roman"/>
          <w:b w:val="0"/>
          <w:bCs w:val="0"/>
          <w:kern w:val="36"/>
          <w:lang w:val="en"/>
        </w:rPr>
        <w:t>.</w:t>
      </w:r>
    </w:p>
    <w:p w14:paraId="447D5294" w14:textId="6ACC86F0" w:rsidR="00F7638C" w:rsidRPr="00DF4931" w:rsidRDefault="00F7638C" w:rsidP="00DF4931">
      <w:pPr>
        <w:pStyle w:val="ListParagraph"/>
        <w:numPr>
          <w:ilvl w:val="0"/>
          <w:numId w:val="42"/>
        </w:numPr>
        <w:ind w:left="432"/>
        <w:rPr>
          <w:rFonts w:cs="Arial"/>
          <w:b w:val="0"/>
          <w:bCs w:val="0"/>
          <w:color w:val="333333"/>
          <w:lang w:val="en"/>
        </w:rPr>
      </w:pPr>
      <w:r w:rsidRPr="00DF4931">
        <w:rPr>
          <w:rFonts w:cs="Arial"/>
          <w:b w:val="0"/>
          <w:bCs w:val="0"/>
          <w:color w:val="333333"/>
          <w:lang w:val="en"/>
        </w:rPr>
        <w:t xml:space="preserve">Lee, Kyootai and Mirchandani, Dinesh A. (2010). “Dynamics of the Importance of IS/IT Skills,” </w:t>
      </w:r>
      <w:r w:rsidRPr="00DF4931">
        <w:rPr>
          <w:rFonts w:cs="Arial"/>
          <w:b w:val="0"/>
          <w:bCs w:val="0"/>
          <w:i/>
          <w:color w:val="333333"/>
          <w:lang w:val="en"/>
        </w:rPr>
        <w:t xml:space="preserve">The </w:t>
      </w:r>
      <w:r w:rsidRPr="00DF4931">
        <w:rPr>
          <w:rStyle w:val="Emphasis"/>
          <w:rFonts w:cs="Arial"/>
          <w:b w:val="0"/>
          <w:bCs w:val="0"/>
          <w:color w:val="333333"/>
          <w:lang w:val="en"/>
        </w:rPr>
        <w:t>Journal of Computer Information Systems</w:t>
      </w:r>
      <w:r w:rsidRPr="00DF4931">
        <w:rPr>
          <w:rFonts w:cs="Arial"/>
          <w:b w:val="0"/>
          <w:bCs w:val="0"/>
          <w:color w:val="333333"/>
          <w:lang w:val="en"/>
        </w:rPr>
        <w:t>, 50:4, 67-78.</w:t>
      </w:r>
    </w:p>
    <w:p w14:paraId="4B875914" w14:textId="0F333735" w:rsidR="00F7638C" w:rsidRPr="00DF4931" w:rsidRDefault="00F7638C" w:rsidP="00DF4931">
      <w:pPr>
        <w:pStyle w:val="ListParagraph"/>
        <w:numPr>
          <w:ilvl w:val="0"/>
          <w:numId w:val="42"/>
        </w:numPr>
        <w:autoSpaceDE w:val="0"/>
        <w:autoSpaceDN w:val="0"/>
        <w:adjustRightInd w:val="0"/>
        <w:ind w:left="432"/>
        <w:rPr>
          <w:rFonts w:cs="Arial"/>
          <w:b w:val="0"/>
          <w:bCs w:val="0"/>
        </w:rPr>
      </w:pPr>
      <w:r w:rsidRPr="00DF4931">
        <w:rPr>
          <w:rFonts w:cs="Arial"/>
          <w:b w:val="0"/>
          <w:bCs w:val="0"/>
        </w:rPr>
        <w:t xml:space="preserve">Todd, Peter A; McKeen, James D; Gallupe, R Brent (1995).  “The evolution of IS job skills: A content analysis of IS job,” </w:t>
      </w:r>
      <w:r w:rsidRPr="00DF4931">
        <w:rPr>
          <w:rFonts w:cs="Arial"/>
          <w:b w:val="0"/>
          <w:bCs w:val="0"/>
          <w:i/>
          <w:iCs/>
        </w:rPr>
        <w:t xml:space="preserve">MIS Quarterly, </w:t>
      </w:r>
      <w:r w:rsidRPr="00DF4931">
        <w:rPr>
          <w:rFonts w:cs="Arial"/>
          <w:b w:val="0"/>
          <w:bCs w:val="0"/>
        </w:rPr>
        <w:t>19:1, 1-27.</w:t>
      </w:r>
    </w:p>
    <w:p w14:paraId="227138AC" w14:textId="19C69151" w:rsidR="00F7638C" w:rsidRPr="00DF4931" w:rsidRDefault="00F7638C" w:rsidP="00DF4931">
      <w:pPr>
        <w:pStyle w:val="ListParagraph"/>
        <w:numPr>
          <w:ilvl w:val="0"/>
          <w:numId w:val="42"/>
        </w:numPr>
        <w:autoSpaceDE w:val="0"/>
        <w:autoSpaceDN w:val="0"/>
        <w:adjustRightInd w:val="0"/>
        <w:ind w:left="432"/>
        <w:rPr>
          <w:b w:val="0"/>
          <w:bCs w:val="0"/>
        </w:rPr>
      </w:pPr>
      <w:r w:rsidRPr="00DF4931">
        <w:rPr>
          <w:rFonts w:cs="Arial"/>
          <w:b w:val="0"/>
          <w:bCs w:val="0"/>
        </w:rPr>
        <w:t>Sumner, Mary and Niederman, F. (2019). “Resolving the IS Skills Paradox: A Content Analysis of a Jobs Database.” Proceedings of the ACM SIG MIS 2019 Conference. ACM Digital Library.</w:t>
      </w:r>
    </w:p>
    <w:p w14:paraId="22F31069" w14:textId="77777777" w:rsidR="00DF4931" w:rsidRDefault="00DF4931" w:rsidP="00DF4931">
      <w:pPr>
        <w:sectPr w:rsidR="00DF4931" w:rsidSect="00BA4BB5">
          <w:endnotePr>
            <w:numFmt w:val="decimal"/>
          </w:endnotePr>
          <w:type w:val="continuous"/>
          <w:pgSz w:w="12240" w:h="15840" w:code="9"/>
          <w:pgMar w:top="1500" w:right="1080" w:bottom="1600" w:left="1080" w:header="1080" w:footer="1080" w:gutter="0"/>
          <w:pgNumType w:start="1"/>
          <w:cols w:num="2" w:space="480"/>
          <w:titlePg/>
          <w:docGrid w:linePitch="360"/>
        </w:sectPr>
      </w:pPr>
    </w:p>
    <w:p w14:paraId="2BC51A5D" w14:textId="56F227F0" w:rsidR="00DF4931" w:rsidRPr="00DF4931" w:rsidRDefault="00DF4931" w:rsidP="00DF4931"/>
    <w:p w14:paraId="01B71BA2" w14:textId="77777777" w:rsidR="00DF4931" w:rsidRDefault="00DF4931" w:rsidP="00DF4931">
      <w:pPr>
        <w:autoSpaceDE w:val="0"/>
        <w:autoSpaceDN w:val="0"/>
        <w:adjustRightInd w:val="0"/>
        <w:sectPr w:rsidR="00DF4931" w:rsidSect="00DF4931">
          <w:endnotePr>
            <w:numFmt w:val="decimal"/>
          </w:endnotePr>
          <w:type w:val="continuous"/>
          <w:pgSz w:w="12240" w:h="15840" w:code="9"/>
          <w:pgMar w:top="1500" w:right="1080" w:bottom="1600" w:left="1080" w:header="1080" w:footer="1080" w:gutter="0"/>
          <w:pgNumType w:start="1"/>
          <w:cols w:space="480"/>
          <w:titlePg/>
          <w:docGrid w:linePitch="360"/>
        </w:sectPr>
      </w:pPr>
    </w:p>
    <w:p w14:paraId="71C19D86" w14:textId="61C94709" w:rsidR="00DF4931" w:rsidRPr="00DF4931" w:rsidRDefault="00DF4931" w:rsidP="00DF4931">
      <w:pPr>
        <w:autoSpaceDE w:val="0"/>
        <w:autoSpaceDN w:val="0"/>
        <w:adjustRightInd w:val="0"/>
      </w:pPr>
    </w:p>
    <w:p w14:paraId="6F357812" w14:textId="77777777" w:rsidR="00DF4931" w:rsidRPr="00DF4931" w:rsidRDefault="00DF4931" w:rsidP="00DF4931"/>
    <w:p w14:paraId="15BC2DCB" w14:textId="77777777" w:rsidR="00DF4931" w:rsidRPr="00DF4931" w:rsidRDefault="00DF4931" w:rsidP="00DF4931">
      <w:pPr>
        <w:autoSpaceDE w:val="0"/>
        <w:autoSpaceDN w:val="0"/>
        <w:adjustRightInd w:val="0"/>
      </w:pPr>
    </w:p>
    <w:p w14:paraId="4FEE16AE" w14:textId="77777777" w:rsidR="007D56FE" w:rsidRDefault="007D56FE" w:rsidP="00B70549">
      <w:pPr>
        <w:spacing w:before="100" w:beforeAutospacing="1" w:after="100" w:afterAutospacing="1" w:line="240" w:lineRule="auto"/>
      </w:pPr>
    </w:p>
    <w:sectPr w:rsidR="007D56FE" w:rsidSect="00BA4BB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5CD4" w14:textId="77777777" w:rsidR="00BF335A" w:rsidRDefault="00BF335A">
      <w:r>
        <w:separator/>
      </w:r>
    </w:p>
  </w:endnote>
  <w:endnote w:type="continuationSeparator" w:id="0">
    <w:p w14:paraId="27481DCE" w14:textId="77777777" w:rsidR="00BF335A" w:rsidRDefault="00BF335A">
      <w:r>
        <w:continuationSeparator/>
      </w:r>
    </w:p>
  </w:endnote>
  <w:endnote w:type="continuationNotice" w:id="1">
    <w:p w14:paraId="2BEB035A" w14:textId="77777777" w:rsidR="00BF335A" w:rsidRDefault="00BF3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altName w:val="﷽﷽﷽﷽﷽﷽﷽﷽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4370" w14:textId="77777777" w:rsidR="00544279" w:rsidRPr="00586A35" w:rsidRDefault="00544279" w:rsidP="00586A35">
    <w:pPr>
      <w:pStyle w:val="Footer"/>
      <w:rPr>
        <w:rStyle w:val="PageNumber"/>
        <w:rFonts w:ascii="Linux Biolinum" w:hAnsi="Linux Biolinum" w:cs="Linux Biolinum"/>
      </w:rPr>
    </w:pPr>
  </w:p>
  <w:p w14:paraId="21791C4C" w14:textId="77777777" w:rsidR="00544279" w:rsidRPr="00586A35" w:rsidRDefault="00544279"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1024" w14:textId="77777777" w:rsidR="00544279" w:rsidRPr="00586A35" w:rsidRDefault="00544279">
    <w:pPr>
      <w:pStyle w:val="Footer"/>
      <w:ind w:right="360"/>
      <w:rPr>
        <w:rFonts w:ascii="Linux Biolinum" w:hAnsi="Linux Biolinum" w:cs="Linux Biolin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A675" w14:textId="77777777" w:rsidR="00586A35" w:rsidRPr="00586A35" w:rsidRDefault="00586A35" w:rsidP="00586A35">
    <w:pPr>
      <w:pStyle w:val="Footer"/>
      <w:rPr>
        <w:rStyle w:val="PageNumber"/>
        <w:rFonts w:ascii="Linux Biolinum" w:hAnsi="Linux Biolinum" w:cs="Linux Biolinum"/>
      </w:rPr>
    </w:pPr>
  </w:p>
  <w:p w14:paraId="688A9930" w14:textId="77777777" w:rsidR="00586A35" w:rsidRPr="00586A35" w:rsidRDefault="00586A35" w:rsidP="00586A35">
    <w:pPr>
      <w:pStyle w:val="Footer"/>
      <w:ind w:right="360"/>
      <w:rPr>
        <w:rFonts w:ascii="Linux Biolinum" w:hAnsi="Linux Biolinum" w:cs="Linux Biolinum"/>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29C0"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353F" w14:textId="77777777" w:rsidR="00BF335A" w:rsidRDefault="00BF335A">
      <w:r>
        <w:separator/>
      </w:r>
    </w:p>
  </w:footnote>
  <w:footnote w:type="continuationSeparator" w:id="0">
    <w:p w14:paraId="7CAA397E" w14:textId="77777777" w:rsidR="00BF335A" w:rsidRDefault="00BF335A">
      <w:r>
        <w:continuationSeparator/>
      </w:r>
    </w:p>
  </w:footnote>
  <w:footnote w:type="continuationNotice" w:id="1">
    <w:p w14:paraId="476155B3" w14:textId="77777777" w:rsidR="00BF335A" w:rsidRDefault="00BF3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44279" w:rsidRPr="00DF4931" w14:paraId="1C4FDEFB" w14:textId="77777777" w:rsidTr="00586A35">
      <w:tc>
        <w:tcPr>
          <w:tcW w:w="2500" w:type="pct"/>
          <w:vAlign w:val="center"/>
        </w:tcPr>
        <w:p w14:paraId="607F96F0" w14:textId="77777777" w:rsidR="00544279" w:rsidRPr="00586A35" w:rsidRDefault="00544279"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19CE5998" w14:textId="77777777" w:rsidR="00544279" w:rsidRPr="00DF4931" w:rsidRDefault="00544279" w:rsidP="00586A35">
          <w:pPr>
            <w:pStyle w:val="Header"/>
            <w:tabs>
              <w:tab w:val="clear" w:pos="4320"/>
              <w:tab w:val="clear" w:pos="8640"/>
            </w:tabs>
            <w:jc w:val="right"/>
            <w:rPr>
              <w:rFonts w:ascii="Linux Biolinum" w:hAnsi="Linux Biolinum" w:cs="Linux Biolinum"/>
              <w:lang w:val="es-ES"/>
            </w:rPr>
          </w:pPr>
          <w:r w:rsidRPr="00DF4931">
            <w:rPr>
              <w:rFonts w:ascii="Linux Biolinum" w:hAnsi="Linux Biolinum" w:cs="Linux Biolinum"/>
              <w:lang w:val="es-ES"/>
            </w:rPr>
            <w:t>WOODSTOCK’18, June, 2018, El Paso, Texas USA</w:t>
          </w:r>
        </w:p>
      </w:tc>
    </w:tr>
  </w:tbl>
  <w:p w14:paraId="3F2A16F4" w14:textId="77777777" w:rsidR="00544279" w:rsidRPr="00DF4931" w:rsidRDefault="00544279" w:rsidP="00586A35">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BEE9" w14:textId="77777777" w:rsidR="002B01E4" w:rsidRPr="00586A35" w:rsidRDefault="002B01E4" w:rsidP="0058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695D"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0DC0035"/>
    <w:multiLevelType w:val="hybridMultilevel"/>
    <w:tmpl w:val="26E2F0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6D6197"/>
    <w:multiLevelType w:val="hybridMultilevel"/>
    <w:tmpl w:val="777C6C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8E1B32"/>
    <w:multiLevelType w:val="hybridMultilevel"/>
    <w:tmpl w:val="FE6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025F9"/>
    <w:multiLevelType w:val="hybridMultilevel"/>
    <w:tmpl w:val="AC3E6C54"/>
    <w:lvl w:ilvl="0" w:tplc="2932C73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845759"/>
    <w:multiLevelType w:val="hybridMultilevel"/>
    <w:tmpl w:val="67549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A3E0D96"/>
    <w:multiLevelType w:val="hybridMultilevel"/>
    <w:tmpl w:val="EEFE1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DA6"/>
    <w:multiLevelType w:val="hybridMultilevel"/>
    <w:tmpl w:val="E6F86C34"/>
    <w:lvl w:ilvl="0" w:tplc="4146A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7887E31"/>
    <w:multiLevelType w:val="multilevel"/>
    <w:tmpl w:val="FEFCA140"/>
    <w:lvl w:ilvl="0">
      <w:start w:val="1"/>
      <w:numFmt w:val="decimal"/>
      <w:lvlText w:val="%1"/>
      <w:lvlJc w:val="left"/>
      <w:pPr>
        <w:ind w:left="418" w:hanging="418"/>
      </w:pPr>
      <w:rPr>
        <w:rFonts w:hint="default"/>
      </w:rPr>
    </w:lvl>
    <w:lvl w:ilvl="1">
      <w:start w:val="1"/>
      <w:numFmt w:val="decimal"/>
      <w:lvlText w:val="%1.%2"/>
      <w:lvlJc w:val="left"/>
      <w:pPr>
        <w:ind w:left="508" w:hanging="418"/>
      </w:pPr>
      <w:rPr>
        <w:rFonts w:hint="default"/>
      </w:rPr>
    </w:lvl>
    <w:lvl w:ilvl="2">
      <w:start w:val="1"/>
      <w:numFmt w:val="decimal"/>
      <w:suff w:val="space"/>
      <w:lvlText w:val="%1.%2.%3"/>
      <w:lvlJc w:val="left"/>
      <w:pPr>
        <w:ind w:left="0" w:firstLine="0"/>
      </w:pPr>
      <w:rPr>
        <w:rFonts w:hint="default"/>
        <w:b w:val="0"/>
        <w:i/>
      </w:rPr>
    </w:lvl>
    <w:lvl w:ilvl="3">
      <w:start w:val="1"/>
      <w:numFmt w:val="decimal"/>
      <w:suff w:val="space"/>
      <w:lvlText w:val="%1.%2.%3.%4"/>
      <w:lvlJc w:val="left"/>
      <w:pPr>
        <w:ind w:left="0" w:firstLine="0"/>
      </w:pPr>
      <w:rPr>
        <w:rFonts w:hint="default"/>
        <w:b w:val="0"/>
        <w:i/>
      </w:rPr>
    </w:lvl>
    <w:lvl w:ilvl="4">
      <w:start w:val="1"/>
      <w:numFmt w:val="lowerLetter"/>
      <w:lvlText w:val="%5."/>
      <w:lvlJc w:val="left"/>
      <w:pPr>
        <w:ind w:left="418" w:hanging="418"/>
      </w:pPr>
      <w:rPr>
        <w:rFonts w:hint="default"/>
      </w:rPr>
    </w:lvl>
    <w:lvl w:ilvl="5">
      <w:start w:val="1"/>
      <w:numFmt w:val="lowerRoman"/>
      <w:lvlText w:val="%6."/>
      <w:lvlJc w:val="right"/>
      <w:pPr>
        <w:ind w:left="418" w:hanging="418"/>
      </w:pPr>
      <w:rPr>
        <w:rFonts w:hint="default"/>
      </w:rPr>
    </w:lvl>
    <w:lvl w:ilvl="6">
      <w:start w:val="1"/>
      <w:numFmt w:val="decimal"/>
      <w:lvlText w:val="%7."/>
      <w:lvlJc w:val="left"/>
      <w:pPr>
        <w:ind w:left="418" w:hanging="418"/>
      </w:pPr>
      <w:rPr>
        <w:rFonts w:hint="default"/>
      </w:rPr>
    </w:lvl>
    <w:lvl w:ilvl="7">
      <w:start w:val="1"/>
      <w:numFmt w:val="lowerLetter"/>
      <w:lvlText w:val="%8."/>
      <w:lvlJc w:val="left"/>
      <w:pPr>
        <w:ind w:left="418" w:hanging="418"/>
      </w:pPr>
      <w:rPr>
        <w:rFonts w:hint="default"/>
      </w:rPr>
    </w:lvl>
    <w:lvl w:ilvl="8">
      <w:start w:val="1"/>
      <w:numFmt w:val="lowerRoman"/>
      <w:lvlText w:val="%9."/>
      <w:lvlJc w:val="right"/>
      <w:pPr>
        <w:ind w:left="418" w:hanging="418"/>
      </w:pPr>
      <w:rPr>
        <w:rFonts w:hint="default"/>
      </w:r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C65486E"/>
    <w:multiLevelType w:val="hybridMultilevel"/>
    <w:tmpl w:val="E6E4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6C98487E"/>
    <w:multiLevelType w:val="hybridMultilevel"/>
    <w:tmpl w:val="B0E854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A1319"/>
    <w:multiLevelType w:val="hybridMultilevel"/>
    <w:tmpl w:val="C79AE1AC"/>
    <w:lvl w:ilvl="0" w:tplc="61AEA40C">
      <w:start w:val="1"/>
      <w:numFmt w:val="decimal"/>
      <w:lvlText w:val="[%1]"/>
      <w:lvlJc w:val="left"/>
      <w:pPr>
        <w:ind w:left="720" w:hanging="360"/>
      </w:pPr>
      <w:rPr>
        <w:rFonts w:ascii="Times New Roman" w:hAnsi="Times New Roman" w:hint="default"/>
        <w:b w:val="0"/>
        <w:bCs w:val="0"/>
        <w:i w:val="0"/>
        <w:i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0"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40"/>
  </w:num>
  <w:num w:numId="23">
    <w:abstractNumId w:val="15"/>
  </w:num>
  <w:num w:numId="24">
    <w:abstractNumId w:val="35"/>
  </w:num>
  <w:num w:numId="25">
    <w:abstractNumId w:val="31"/>
  </w:num>
  <w:num w:numId="26">
    <w:abstractNumId w:val="2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4"/>
  </w:num>
  <w:num w:numId="31">
    <w:abstractNumId w:val="12"/>
  </w:num>
  <w:num w:numId="32">
    <w:abstractNumId w:val="27"/>
  </w:num>
  <w:num w:numId="33">
    <w:abstractNumId w:val="16"/>
  </w:num>
  <w:num w:numId="34">
    <w:abstractNumId w:val="38"/>
  </w:num>
  <w:num w:numId="35">
    <w:abstractNumId w:val="30"/>
  </w:num>
  <w:num w:numId="36">
    <w:abstractNumId w:val="19"/>
  </w:num>
  <w:num w:numId="37">
    <w:abstractNumId w:val="11"/>
  </w:num>
  <w:num w:numId="38">
    <w:abstractNumId w:val="13"/>
  </w:num>
  <w:num w:numId="39">
    <w:abstractNumId w:val="22"/>
  </w:num>
  <w:num w:numId="40">
    <w:abstractNumId w:val="37"/>
  </w:num>
  <w:num w:numId="41">
    <w:abstractNumId w:val="17"/>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338FF"/>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94973"/>
    <w:rsid w:val="000B3337"/>
    <w:rsid w:val="000C050B"/>
    <w:rsid w:val="000E118B"/>
    <w:rsid w:val="000E278E"/>
    <w:rsid w:val="000E7A87"/>
    <w:rsid w:val="000F6090"/>
    <w:rsid w:val="001010A2"/>
    <w:rsid w:val="001041A3"/>
    <w:rsid w:val="0010534D"/>
    <w:rsid w:val="001143F2"/>
    <w:rsid w:val="00124147"/>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1C56"/>
    <w:rsid w:val="001E2720"/>
    <w:rsid w:val="001E71D7"/>
    <w:rsid w:val="0020294A"/>
    <w:rsid w:val="00206E1E"/>
    <w:rsid w:val="002233F8"/>
    <w:rsid w:val="0024065A"/>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D2D10"/>
    <w:rsid w:val="002F069E"/>
    <w:rsid w:val="002F2289"/>
    <w:rsid w:val="002F2EB2"/>
    <w:rsid w:val="00301545"/>
    <w:rsid w:val="00303FAD"/>
    <w:rsid w:val="003057B1"/>
    <w:rsid w:val="00307501"/>
    <w:rsid w:val="00317850"/>
    <w:rsid w:val="00321DDC"/>
    <w:rsid w:val="0032775A"/>
    <w:rsid w:val="00330849"/>
    <w:rsid w:val="0033342D"/>
    <w:rsid w:val="003342CD"/>
    <w:rsid w:val="00336D12"/>
    <w:rsid w:val="0034235E"/>
    <w:rsid w:val="00356296"/>
    <w:rsid w:val="00357671"/>
    <w:rsid w:val="00365876"/>
    <w:rsid w:val="00373175"/>
    <w:rsid w:val="00375619"/>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0CED"/>
    <w:rsid w:val="003F11AB"/>
    <w:rsid w:val="003F4297"/>
    <w:rsid w:val="003F5DAE"/>
    <w:rsid w:val="003F5F3D"/>
    <w:rsid w:val="003F7CA2"/>
    <w:rsid w:val="00406CD4"/>
    <w:rsid w:val="004128EE"/>
    <w:rsid w:val="00427C7D"/>
    <w:rsid w:val="00431CB0"/>
    <w:rsid w:val="0046042C"/>
    <w:rsid w:val="0048106F"/>
    <w:rsid w:val="0048126B"/>
    <w:rsid w:val="004825CE"/>
    <w:rsid w:val="00482D13"/>
    <w:rsid w:val="004836A6"/>
    <w:rsid w:val="00492EF4"/>
    <w:rsid w:val="004947C9"/>
    <w:rsid w:val="00495781"/>
    <w:rsid w:val="00496BC6"/>
    <w:rsid w:val="00497365"/>
    <w:rsid w:val="004A7556"/>
    <w:rsid w:val="004B0BF6"/>
    <w:rsid w:val="004B736F"/>
    <w:rsid w:val="004C1EDF"/>
    <w:rsid w:val="004C49F3"/>
    <w:rsid w:val="004C6B2D"/>
    <w:rsid w:val="004E5134"/>
    <w:rsid w:val="0050103C"/>
    <w:rsid w:val="005041C6"/>
    <w:rsid w:val="00504C8B"/>
    <w:rsid w:val="00506EF6"/>
    <w:rsid w:val="005153AC"/>
    <w:rsid w:val="005160AB"/>
    <w:rsid w:val="00523CD9"/>
    <w:rsid w:val="00540C55"/>
    <w:rsid w:val="00544279"/>
    <w:rsid w:val="00551881"/>
    <w:rsid w:val="005528F6"/>
    <w:rsid w:val="005663C0"/>
    <w:rsid w:val="00580B71"/>
    <w:rsid w:val="0058578F"/>
    <w:rsid w:val="00586A35"/>
    <w:rsid w:val="00590AFA"/>
    <w:rsid w:val="005927BE"/>
    <w:rsid w:val="00596082"/>
    <w:rsid w:val="00596F2A"/>
    <w:rsid w:val="005B2ED3"/>
    <w:rsid w:val="005B493F"/>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5565F"/>
    <w:rsid w:val="00660A05"/>
    <w:rsid w:val="00670649"/>
    <w:rsid w:val="00675128"/>
    <w:rsid w:val="0069472B"/>
    <w:rsid w:val="00694749"/>
    <w:rsid w:val="00694822"/>
    <w:rsid w:val="006958AF"/>
    <w:rsid w:val="006978B2"/>
    <w:rsid w:val="006A22F6"/>
    <w:rsid w:val="006A29E8"/>
    <w:rsid w:val="006C4BE3"/>
    <w:rsid w:val="006D0E9B"/>
    <w:rsid w:val="006D1CFF"/>
    <w:rsid w:val="006D2239"/>
    <w:rsid w:val="006D5F05"/>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35052"/>
    <w:rsid w:val="007373A3"/>
    <w:rsid w:val="00743328"/>
    <w:rsid w:val="007451FF"/>
    <w:rsid w:val="00745373"/>
    <w:rsid w:val="00747E69"/>
    <w:rsid w:val="00751EC1"/>
    <w:rsid w:val="00752225"/>
    <w:rsid w:val="00753548"/>
    <w:rsid w:val="00761C16"/>
    <w:rsid w:val="00764059"/>
    <w:rsid w:val="007647B0"/>
    <w:rsid w:val="00765265"/>
    <w:rsid w:val="007800CE"/>
    <w:rsid w:val="00780227"/>
    <w:rsid w:val="00793451"/>
    <w:rsid w:val="00793808"/>
    <w:rsid w:val="0079682F"/>
    <w:rsid w:val="00797D60"/>
    <w:rsid w:val="007A3F4E"/>
    <w:rsid w:val="007A481F"/>
    <w:rsid w:val="007A502C"/>
    <w:rsid w:val="007A579F"/>
    <w:rsid w:val="007C11BD"/>
    <w:rsid w:val="007C57E7"/>
    <w:rsid w:val="007D3C28"/>
    <w:rsid w:val="007D56FE"/>
    <w:rsid w:val="007E0B4F"/>
    <w:rsid w:val="007E33CA"/>
    <w:rsid w:val="007E7648"/>
    <w:rsid w:val="007F1D36"/>
    <w:rsid w:val="007F2D1D"/>
    <w:rsid w:val="007F762C"/>
    <w:rsid w:val="00802E06"/>
    <w:rsid w:val="00804E69"/>
    <w:rsid w:val="008051C3"/>
    <w:rsid w:val="0080780B"/>
    <w:rsid w:val="00810CE2"/>
    <w:rsid w:val="008150D4"/>
    <w:rsid w:val="00824131"/>
    <w:rsid w:val="008313F7"/>
    <w:rsid w:val="0083735E"/>
    <w:rsid w:val="00837CBF"/>
    <w:rsid w:val="00843705"/>
    <w:rsid w:val="00847A31"/>
    <w:rsid w:val="00850D0C"/>
    <w:rsid w:val="0085553A"/>
    <w:rsid w:val="00871E83"/>
    <w:rsid w:val="00872330"/>
    <w:rsid w:val="0089066F"/>
    <w:rsid w:val="00891A1D"/>
    <w:rsid w:val="008935B4"/>
    <w:rsid w:val="008949E1"/>
    <w:rsid w:val="00895CCC"/>
    <w:rsid w:val="008A665A"/>
    <w:rsid w:val="008B1EFD"/>
    <w:rsid w:val="008B426C"/>
    <w:rsid w:val="008B710D"/>
    <w:rsid w:val="008C6E83"/>
    <w:rsid w:val="008C72C9"/>
    <w:rsid w:val="008D4A83"/>
    <w:rsid w:val="008D706B"/>
    <w:rsid w:val="008E5E33"/>
    <w:rsid w:val="008F6FB8"/>
    <w:rsid w:val="009010B7"/>
    <w:rsid w:val="009073E1"/>
    <w:rsid w:val="00914076"/>
    <w:rsid w:val="0092209C"/>
    <w:rsid w:val="00922D48"/>
    <w:rsid w:val="00924FB0"/>
    <w:rsid w:val="009268B7"/>
    <w:rsid w:val="00926E45"/>
    <w:rsid w:val="00931F2B"/>
    <w:rsid w:val="00932662"/>
    <w:rsid w:val="00934FE1"/>
    <w:rsid w:val="00936367"/>
    <w:rsid w:val="00936F8D"/>
    <w:rsid w:val="0095071A"/>
    <w:rsid w:val="00955704"/>
    <w:rsid w:val="00962503"/>
    <w:rsid w:val="00966299"/>
    <w:rsid w:val="009668DE"/>
    <w:rsid w:val="0097075F"/>
    <w:rsid w:val="00976413"/>
    <w:rsid w:val="00982C4C"/>
    <w:rsid w:val="00986039"/>
    <w:rsid w:val="00990933"/>
    <w:rsid w:val="009923C7"/>
    <w:rsid w:val="009978A7"/>
    <w:rsid w:val="009B00DC"/>
    <w:rsid w:val="009B3B84"/>
    <w:rsid w:val="009B7559"/>
    <w:rsid w:val="009D3C3B"/>
    <w:rsid w:val="009D46EA"/>
    <w:rsid w:val="009E56C5"/>
    <w:rsid w:val="009F2833"/>
    <w:rsid w:val="00A012F5"/>
    <w:rsid w:val="00A06C70"/>
    <w:rsid w:val="00A11338"/>
    <w:rsid w:val="00A12291"/>
    <w:rsid w:val="00A13411"/>
    <w:rsid w:val="00A15152"/>
    <w:rsid w:val="00A155F9"/>
    <w:rsid w:val="00A164B7"/>
    <w:rsid w:val="00A21DEF"/>
    <w:rsid w:val="00A319FD"/>
    <w:rsid w:val="00A462C6"/>
    <w:rsid w:val="00A55023"/>
    <w:rsid w:val="00A739CB"/>
    <w:rsid w:val="00A75047"/>
    <w:rsid w:val="00A80BFD"/>
    <w:rsid w:val="00A8507F"/>
    <w:rsid w:val="00A853AA"/>
    <w:rsid w:val="00A91E16"/>
    <w:rsid w:val="00A95518"/>
    <w:rsid w:val="00AA10C4"/>
    <w:rsid w:val="00AA57D8"/>
    <w:rsid w:val="00AA5BF1"/>
    <w:rsid w:val="00AA6E2B"/>
    <w:rsid w:val="00AB0733"/>
    <w:rsid w:val="00AB21AA"/>
    <w:rsid w:val="00AB2327"/>
    <w:rsid w:val="00AC4630"/>
    <w:rsid w:val="00AD0294"/>
    <w:rsid w:val="00AE1E64"/>
    <w:rsid w:val="00AE6970"/>
    <w:rsid w:val="00B13E4F"/>
    <w:rsid w:val="00B14E51"/>
    <w:rsid w:val="00B15A21"/>
    <w:rsid w:val="00B1638F"/>
    <w:rsid w:val="00B23C1A"/>
    <w:rsid w:val="00B25737"/>
    <w:rsid w:val="00B25FE0"/>
    <w:rsid w:val="00B33269"/>
    <w:rsid w:val="00B350C9"/>
    <w:rsid w:val="00B3715C"/>
    <w:rsid w:val="00B4052C"/>
    <w:rsid w:val="00B41CB4"/>
    <w:rsid w:val="00B43D73"/>
    <w:rsid w:val="00B46551"/>
    <w:rsid w:val="00B51DB5"/>
    <w:rsid w:val="00B61445"/>
    <w:rsid w:val="00B61DDD"/>
    <w:rsid w:val="00B64DD4"/>
    <w:rsid w:val="00B64F13"/>
    <w:rsid w:val="00B70549"/>
    <w:rsid w:val="00B73DEA"/>
    <w:rsid w:val="00BA00DF"/>
    <w:rsid w:val="00BA4272"/>
    <w:rsid w:val="00BA4BB5"/>
    <w:rsid w:val="00BA5432"/>
    <w:rsid w:val="00BA5A52"/>
    <w:rsid w:val="00BA7DD8"/>
    <w:rsid w:val="00BB333E"/>
    <w:rsid w:val="00BC5BDA"/>
    <w:rsid w:val="00BD304D"/>
    <w:rsid w:val="00BD61E5"/>
    <w:rsid w:val="00BD793B"/>
    <w:rsid w:val="00BF335A"/>
    <w:rsid w:val="00BF3D6B"/>
    <w:rsid w:val="00C03DCA"/>
    <w:rsid w:val="00C06212"/>
    <w:rsid w:val="00C1142C"/>
    <w:rsid w:val="00C14A4F"/>
    <w:rsid w:val="00C32613"/>
    <w:rsid w:val="00C41AE1"/>
    <w:rsid w:val="00C4538D"/>
    <w:rsid w:val="00C461FF"/>
    <w:rsid w:val="00C50274"/>
    <w:rsid w:val="00C5423E"/>
    <w:rsid w:val="00C562E1"/>
    <w:rsid w:val="00C72FAB"/>
    <w:rsid w:val="00C81E14"/>
    <w:rsid w:val="00C822AF"/>
    <w:rsid w:val="00C83439"/>
    <w:rsid w:val="00C90428"/>
    <w:rsid w:val="00C9472A"/>
    <w:rsid w:val="00C95C6E"/>
    <w:rsid w:val="00C96C07"/>
    <w:rsid w:val="00CA17C5"/>
    <w:rsid w:val="00CB6709"/>
    <w:rsid w:val="00CB75FC"/>
    <w:rsid w:val="00CC2FE0"/>
    <w:rsid w:val="00CD4663"/>
    <w:rsid w:val="00CE752A"/>
    <w:rsid w:val="00CF2B1E"/>
    <w:rsid w:val="00CF39D4"/>
    <w:rsid w:val="00D03AA2"/>
    <w:rsid w:val="00D04103"/>
    <w:rsid w:val="00D24596"/>
    <w:rsid w:val="00D24AA4"/>
    <w:rsid w:val="00D255CE"/>
    <w:rsid w:val="00D31EBA"/>
    <w:rsid w:val="00D341FA"/>
    <w:rsid w:val="00D34435"/>
    <w:rsid w:val="00D47BCC"/>
    <w:rsid w:val="00D50322"/>
    <w:rsid w:val="00D56709"/>
    <w:rsid w:val="00D658B3"/>
    <w:rsid w:val="00D70EDE"/>
    <w:rsid w:val="00D76DD2"/>
    <w:rsid w:val="00D76E9E"/>
    <w:rsid w:val="00D9290D"/>
    <w:rsid w:val="00DC112E"/>
    <w:rsid w:val="00DC1C49"/>
    <w:rsid w:val="00DC4B20"/>
    <w:rsid w:val="00DC4FC9"/>
    <w:rsid w:val="00DD476E"/>
    <w:rsid w:val="00DD5335"/>
    <w:rsid w:val="00DD7B45"/>
    <w:rsid w:val="00DF0E97"/>
    <w:rsid w:val="00DF4931"/>
    <w:rsid w:val="00E016B0"/>
    <w:rsid w:val="00E0291F"/>
    <w:rsid w:val="00E04496"/>
    <w:rsid w:val="00E13CDC"/>
    <w:rsid w:val="00E2212F"/>
    <w:rsid w:val="00E238F9"/>
    <w:rsid w:val="00E251D2"/>
    <w:rsid w:val="00E270D5"/>
    <w:rsid w:val="00E27659"/>
    <w:rsid w:val="00E320C3"/>
    <w:rsid w:val="00E36BC9"/>
    <w:rsid w:val="00E51B27"/>
    <w:rsid w:val="00E71D5C"/>
    <w:rsid w:val="00E72E35"/>
    <w:rsid w:val="00E83192"/>
    <w:rsid w:val="00E834D5"/>
    <w:rsid w:val="00E87E12"/>
    <w:rsid w:val="00E943FF"/>
    <w:rsid w:val="00EA18AE"/>
    <w:rsid w:val="00EA33FF"/>
    <w:rsid w:val="00EB0977"/>
    <w:rsid w:val="00EB13C5"/>
    <w:rsid w:val="00EB2401"/>
    <w:rsid w:val="00EB2E12"/>
    <w:rsid w:val="00EB3F7D"/>
    <w:rsid w:val="00EB49FA"/>
    <w:rsid w:val="00EB4DF9"/>
    <w:rsid w:val="00EB5854"/>
    <w:rsid w:val="00EB6256"/>
    <w:rsid w:val="00EC1F8E"/>
    <w:rsid w:val="00EC4D39"/>
    <w:rsid w:val="00EC5E10"/>
    <w:rsid w:val="00EF03F0"/>
    <w:rsid w:val="00F06E88"/>
    <w:rsid w:val="00F07F37"/>
    <w:rsid w:val="00F13DDE"/>
    <w:rsid w:val="00F14319"/>
    <w:rsid w:val="00F2664D"/>
    <w:rsid w:val="00F30418"/>
    <w:rsid w:val="00F3215E"/>
    <w:rsid w:val="00F3231F"/>
    <w:rsid w:val="00F41CC2"/>
    <w:rsid w:val="00F52D73"/>
    <w:rsid w:val="00F65834"/>
    <w:rsid w:val="00F66B6F"/>
    <w:rsid w:val="00F74DA3"/>
    <w:rsid w:val="00F7638C"/>
    <w:rsid w:val="00F91DFA"/>
    <w:rsid w:val="00F95288"/>
    <w:rsid w:val="00F9791B"/>
    <w:rsid w:val="00FA313D"/>
    <w:rsid w:val="00FB2AFC"/>
    <w:rsid w:val="00FB7A39"/>
    <w:rsid w:val="00FC0E1D"/>
    <w:rsid w:val="00FC53DA"/>
    <w:rsid w:val="00FD16A9"/>
    <w:rsid w:val="00FD4B8F"/>
    <w:rsid w:val="00FE4758"/>
    <w:rsid w:val="00FF004E"/>
    <w:rsid w:val="00FF0E35"/>
    <w:rsid w:val="00FF0F4A"/>
    <w:rsid w:val="00FF31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5639C"/>
  <w15:docId w15:val="{2AB8D9AA-F9B9-4FAA-88EE-96C40E5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uiPriority w:val="39"/>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EB2401"/>
    <w:pPr>
      <w:numPr>
        <w:numId w:val="41"/>
      </w:numPr>
      <w:spacing w:before="100" w:beforeAutospacing="1" w:after="100" w:afterAutospacing="1"/>
      <w:contextualSpacing/>
      <w:jc w:val="both"/>
    </w:pPr>
    <w:rPr>
      <w:rFonts w:ascii="Linux Libertine" w:eastAsiaTheme="minorHAnsi" w:hAnsi="Linux Libertine" w:cs="Linux Libertine"/>
      <w:b/>
      <w:bCs/>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3F0CED"/>
    <w:pPr>
      <w:keepNext/>
      <w:keepLines/>
      <w:spacing w:before="24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1143F2"/>
    <w:pPr>
      <w:spacing w:before="180" w:after="80" w:line="264" w:lineRule="auto"/>
      <w:ind w:left="400" w:hanging="400"/>
    </w:pPr>
    <w:rPr>
      <w:rFonts w:ascii="Linux Libertine" w:eastAsia="Times New Roman" w:hAnsi="Linux Libertine" w:cs="Linux Libertine"/>
      <w:b/>
      <w:sz w:val="22"/>
      <w:szCs w:val="22"/>
      <w:lang w:val="en-US" w:eastAsia="en-US"/>
      <w14:ligatures w14:val="standard"/>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7E33CA"/>
    <w:pPr>
      <w:spacing w:before="280" w:after="160" w:line="264" w:lineRule="auto"/>
      <w:jc w:val="center"/>
    </w:pPr>
    <w:rPr>
      <w:rFonts w:ascii="Linux Libertine" w:eastAsiaTheme="minorHAnsi" w:hAnsi="Linux Libertine" w:cs="Linux Libertine"/>
      <w:lang w:val="en-US" w:eastAsia="en-US"/>
      <w14:ligatures w14:val="standard"/>
    </w:rPr>
  </w:style>
  <w:style w:type="character" w:customStyle="1" w:styleId="AuthorsChar">
    <w:name w:val="Authors Char"/>
    <w:basedOn w:val="DefaultParagraphFont"/>
    <w:link w:val="Authors"/>
    <w:rsid w:val="007E33CA"/>
    <w:rPr>
      <w:rFonts w:ascii="Linux Libertine" w:eastAsiaTheme="minorHAnsi" w:hAnsi="Linux Libertine" w:cs="Linux Libertine"/>
      <w:lang w:val="en-US" w:eastAsia="en-US"/>
      <w14:ligatures w14:val="standard"/>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206E1E"/>
    <w:pPr>
      <w:spacing w:before="120" w:after="120" w:line="264" w:lineRule="auto"/>
      <w:jc w:val="both"/>
    </w:pPr>
    <w:rPr>
      <w:rFonts w:ascii="Linux Libertine" w:eastAsiaTheme="minorHAnsi" w:hAnsi="Linux Libertine" w:cstheme="minorBidi"/>
      <w:b/>
      <w:sz w:val="18"/>
      <w:szCs w:val="18"/>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paragraph" w:customStyle="1" w:styleId="TableCaption0">
    <w:name w:val="Table Caption"/>
    <w:rsid w:val="003F0CED"/>
    <w:pPr>
      <w:spacing w:before="120"/>
      <w:jc w:val="both"/>
    </w:pPr>
    <w:rPr>
      <w:rFonts w:ascii="Arial" w:eastAsia="SimSun" w:hAnsi="Arial"/>
      <w:color w:val="000000"/>
      <w:sz w:val="22"/>
      <w:szCs w:val="15"/>
      <w:lang w:val="en-GB" w:eastAsia="en-US"/>
    </w:rPr>
  </w:style>
  <w:style w:type="paragraph" w:customStyle="1" w:styleId="Table">
    <w:name w:val="Table"/>
    <w:basedOn w:val="TableCaption0"/>
    <w:rsid w:val="003F0CED"/>
    <w:pPr>
      <w:widowControl w:val="0"/>
      <w:spacing w:before="0"/>
      <w:jc w:val="center"/>
    </w:pPr>
    <w:rPr>
      <w:rFonts w:ascii="Linux Libertine" w:hAnsi="Linux Libertine" w:cs="Linux Libertine"/>
      <w:sz w:val="20"/>
      <w:szCs w:val="20"/>
      <w:lang w:val="en-US"/>
    </w:rPr>
  </w:style>
  <w:style w:type="character" w:customStyle="1" w:styleId="UnresolvedMention1">
    <w:name w:val="Unresolved Mention1"/>
    <w:basedOn w:val="DefaultParagraphFont"/>
    <w:uiPriority w:val="99"/>
    <w:semiHidden/>
    <w:unhideWhenUsed/>
    <w:rsid w:val="007E33CA"/>
    <w:rPr>
      <w:color w:val="605E5C"/>
      <w:shd w:val="clear" w:color="auto" w:fill="E1DFDD"/>
    </w:rPr>
  </w:style>
  <w:style w:type="character" w:styleId="UnresolvedMention">
    <w:name w:val="Unresolved Mention"/>
    <w:basedOn w:val="DefaultParagraphFont"/>
    <w:uiPriority w:val="99"/>
    <w:semiHidden/>
    <w:unhideWhenUsed/>
    <w:rsid w:val="00D7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7931413">
      <w:bodyDiv w:val="1"/>
      <w:marLeft w:val="0"/>
      <w:marRight w:val="0"/>
      <w:marTop w:val="0"/>
      <w:marBottom w:val="0"/>
      <w:divBdr>
        <w:top w:val="none" w:sz="0" w:space="0" w:color="auto"/>
        <w:left w:val="none" w:sz="0" w:space="0" w:color="auto"/>
        <w:bottom w:val="none" w:sz="0" w:space="0" w:color="auto"/>
        <w:right w:val="none" w:sz="0" w:space="0" w:color="auto"/>
      </w:divBdr>
      <w:divsChild>
        <w:div w:id="80878817">
          <w:marLeft w:val="0"/>
          <w:marRight w:val="0"/>
          <w:marTop w:val="0"/>
          <w:marBottom w:val="0"/>
          <w:divBdr>
            <w:top w:val="none" w:sz="0" w:space="0" w:color="auto"/>
            <w:left w:val="none" w:sz="0" w:space="0" w:color="auto"/>
            <w:bottom w:val="none" w:sz="0" w:space="0" w:color="auto"/>
            <w:right w:val="none" w:sz="0" w:space="0" w:color="auto"/>
          </w:divBdr>
          <w:divsChild>
            <w:div w:id="1506357415">
              <w:marLeft w:val="0"/>
              <w:marRight w:val="0"/>
              <w:marTop w:val="0"/>
              <w:marBottom w:val="0"/>
              <w:divBdr>
                <w:top w:val="none" w:sz="0" w:space="0" w:color="auto"/>
                <w:left w:val="none" w:sz="0" w:space="0" w:color="auto"/>
                <w:bottom w:val="none" w:sz="0" w:space="0" w:color="auto"/>
                <w:right w:val="none" w:sz="0" w:space="0" w:color="auto"/>
              </w:divBdr>
              <w:divsChild>
                <w:div w:id="618418557">
                  <w:marLeft w:val="0"/>
                  <w:marRight w:val="0"/>
                  <w:marTop w:val="0"/>
                  <w:marBottom w:val="0"/>
                  <w:divBdr>
                    <w:top w:val="none" w:sz="0" w:space="0" w:color="auto"/>
                    <w:left w:val="none" w:sz="0" w:space="0" w:color="auto"/>
                    <w:bottom w:val="none" w:sz="0" w:space="0" w:color="auto"/>
                    <w:right w:val="none" w:sz="0" w:space="0" w:color="auto"/>
                  </w:divBdr>
                  <w:divsChild>
                    <w:div w:id="12701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imnet.org/IT-Trend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hyperlink" Target="http://search.proquest.com/abicomplete/docview/232583390/13CE33FB94C6B28BACB/6?accountid=80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743CDE6A-C806-4C68-9011-844E361B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1</TotalTime>
  <Pages>3</Pages>
  <Words>1558</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10425</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Warren, Lara Gayle</cp:lastModifiedBy>
  <cp:revision>2</cp:revision>
  <cp:lastPrinted>2021-04-29T14:59:00Z</cp:lastPrinted>
  <dcterms:created xsi:type="dcterms:W3CDTF">2021-08-26T14:31:00Z</dcterms:created>
  <dcterms:modified xsi:type="dcterms:W3CDTF">2021-08-26T14:31:00Z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